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EF" w:rsidRDefault="006B2EEF">
      <w:pPr>
        <w:pStyle w:val="a6"/>
        <w:widowControl w:val="0"/>
        <w:rPr>
          <w:rFonts w:cs="Arial"/>
          <w:sz w:val="22"/>
        </w:rPr>
      </w:pPr>
      <w:r>
        <w:rPr>
          <w:rFonts w:cs="Arial"/>
          <w:sz w:val="22"/>
        </w:rPr>
        <w:t xml:space="preserve">РЕКОМЕНДАЦИИ </w:t>
      </w:r>
    </w:p>
    <w:p w:rsidR="006B2EEF" w:rsidRDefault="006B2EEF">
      <w:pPr>
        <w:widowControl w:val="0"/>
        <w:spacing w:line="360" w:lineRule="auto"/>
        <w:jc w:val="center"/>
        <w:rPr>
          <w:rFonts w:ascii="Arial" w:hAnsi="Arial" w:cs="Arial"/>
          <w:b/>
          <w:i/>
          <w:sz w:val="22"/>
          <w:u w:val="single"/>
        </w:rPr>
      </w:pPr>
      <w:r>
        <w:rPr>
          <w:rFonts w:ascii="Arial" w:hAnsi="Arial" w:cs="Arial"/>
          <w:b/>
          <w:i/>
          <w:sz w:val="22"/>
          <w:u w:val="single"/>
        </w:rPr>
        <w:t xml:space="preserve">ПО ЗАПОЛНЕНИЮ ЗАЯВЛЕНИЯ НА АККРЕДИТИВ </w:t>
      </w:r>
    </w:p>
    <w:p w:rsidR="006B2EEF" w:rsidRDefault="006B2EEF">
      <w:pPr>
        <w:pStyle w:val="a5"/>
        <w:widowControl w:val="0"/>
        <w:ind w:left="0" w:firstLine="0"/>
        <w:rPr>
          <w:rFonts w:ascii="Arial" w:hAnsi="Arial" w:cs="Arial"/>
          <w:sz w:val="22"/>
        </w:rPr>
      </w:pPr>
    </w:p>
    <w:p w:rsidR="006B2EEF" w:rsidRDefault="00C72F04">
      <w:pPr>
        <w:pStyle w:val="a5"/>
        <w:widowControl w:val="0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НКО</w:t>
      </w:r>
      <w:r w:rsidR="00A22ABC">
        <w:rPr>
          <w:rFonts w:ascii="Arial" w:hAnsi="Arial" w:cs="Arial"/>
          <w:sz w:val="22"/>
        </w:rPr>
        <w:t xml:space="preserve"> «Альтернатива» (ООО)</w:t>
      </w:r>
      <w:r w:rsidR="006B2EEF">
        <w:rPr>
          <w:rFonts w:ascii="Arial" w:hAnsi="Arial" w:cs="Arial"/>
          <w:sz w:val="22"/>
        </w:rPr>
        <w:t xml:space="preserve"> открывает по поручению своих клиентов-приказодателей документарные аккредитивы в иностранной валюте и </w:t>
      </w:r>
      <w:r w:rsidR="00A22ABC">
        <w:rPr>
          <w:rFonts w:ascii="Arial" w:hAnsi="Arial" w:cs="Arial"/>
          <w:sz w:val="22"/>
        </w:rPr>
        <w:t>российских рублях</w:t>
      </w:r>
      <w:r w:rsidR="006B2EEF">
        <w:rPr>
          <w:rFonts w:ascii="Arial" w:hAnsi="Arial" w:cs="Arial"/>
          <w:sz w:val="22"/>
        </w:rPr>
        <w:t xml:space="preserve"> для проведения расчетов по заключенным ими внешнеэкономическим контрактам (договорам)</w:t>
      </w:r>
      <w:r w:rsidR="00A22ABC">
        <w:rPr>
          <w:rFonts w:ascii="Arial" w:hAnsi="Arial" w:cs="Arial"/>
          <w:sz w:val="22"/>
        </w:rPr>
        <w:t xml:space="preserve"> и</w:t>
      </w:r>
      <w:r w:rsidR="006B2EEF">
        <w:rPr>
          <w:rFonts w:ascii="Arial" w:hAnsi="Arial" w:cs="Arial"/>
          <w:sz w:val="22"/>
        </w:rPr>
        <w:t xml:space="preserve"> для оплаты товаров, работ, услуг</w:t>
      </w:r>
      <w:r w:rsidR="00A22ABC">
        <w:rPr>
          <w:rFonts w:ascii="Arial" w:hAnsi="Arial" w:cs="Arial"/>
          <w:sz w:val="22"/>
        </w:rPr>
        <w:t xml:space="preserve"> на территории РФ</w:t>
      </w:r>
      <w:r w:rsidR="006B2EEF">
        <w:rPr>
          <w:rFonts w:ascii="Arial" w:hAnsi="Arial" w:cs="Arial"/>
          <w:sz w:val="22"/>
        </w:rPr>
        <w:t>.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</w:t>
      </w:r>
      <w:r w:rsidR="00A22ABC">
        <w:rPr>
          <w:rFonts w:ascii="Arial" w:hAnsi="Arial" w:cs="Arial"/>
          <w:sz w:val="22"/>
        </w:rPr>
        <w:t>окуп</w:t>
      </w:r>
      <w:r>
        <w:rPr>
          <w:rFonts w:ascii="Arial" w:hAnsi="Arial" w:cs="Arial"/>
          <w:sz w:val="22"/>
        </w:rPr>
        <w:t xml:space="preserve">атель представляет </w:t>
      </w:r>
      <w:r w:rsidR="00C72F04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заявление на аккредитив, подписанное уполномоченными лицами </w:t>
      </w:r>
      <w:r w:rsidR="00A22ABC">
        <w:rPr>
          <w:rFonts w:ascii="Arial" w:hAnsi="Arial" w:cs="Arial"/>
          <w:sz w:val="22"/>
        </w:rPr>
        <w:t>Покупателя</w:t>
      </w:r>
      <w:r>
        <w:rPr>
          <w:rFonts w:ascii="Arial" w:hAnsi="Arial" w:cs="Arial"/>
          <w:sz w:val="22"/>
        </w:rPr>
        <w:t xml:space="preserve"> и скрепленное печатью в соответствии с карточкой образцов подписей и отт</w:t>
      </w:r>
      <w:r w:rsidR="00A22ABC">
        <w:rPr>
          <w:rFonts w:ascii="Arial" w:hAnsi="Arial" w:cs="Arial"/>
          <w:sz w:val="22"/>
        </w:rPr>
        <w:t xml:space="preserve">иска печати, хранящейся в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. 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При открытии аккредитива требуется разрешительная виза ответственного исполнителя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по валютному к</w:t>
      </w:r>
      <w:r w:rsidR="0020521E">
        <w:rPr>
          <w:rFonts w:ascii="Arial" w:hAnsi="Arial" w:cs="Arial"/>
          <w:sz w:val="22"/>
        </w:rPr>
        <w:t>онтролю (относительно необходимости постановки контракта на учет</w:t>
      </w:r>
      <w:r>
        <w:rPr>
          <w:rFonts w:ascii="Arial" w:hAnsi="Arial" w:cs="Arial"/>
          <w:sz w:val="22"/>
        </w:rPr>
        <w:t xml:space="preserve"> или отсутств</w:t>
      </w:r>
      <w:r w:rsidR="0020521E">
        <w:rPr>
          <w:rFonts w:ascii="Arial" w:hAnsi="Arial" w:cs="Arial"/>
          <w:sz w:val="22"/>
        </w:rPr>
        <w:t>ия необходимости постановки</w:t>
      </w:r>
      <w:r>
        <w:rPr>
          <w:rFonts w:ascii="Arial" w:hAnsi="Arial" w:cs="Arial"/>
          <w:sz w:val="22"/>
        </w:rPr>
        <w:t>). В случае осуществления в рамках аккредитива валютной оп</w:t>
      </w:r>
      <w:r w:rsidR="00696E77">
        <w:rPr>
          <w:rFonts w:ascii="Arial" w:hAnsi="Arial" w:cs="Arial"/>
          <w:sz w:val="22"/>
        </w:rPr>
        <w:t>ерации, по которой предусмотрена постановка контракта на учет</w:t>
      </w:r>
      <w:r>
        <w:rPr>
          <w:rFonts w:ascii="Arial" w:hAnsi="Arial" w:cs="Arial"/>
          <w:sz w:val="22"/>
        </w:rPr>
        <w:t xml:space="preserve">, в заявлении на аккредитив указывается информация о его </w:t>
      </w:r>
      <w:r w:rsidR="00696E77">
        <w:rPr>
          <w:rFonts w:ascii="Arial" w:hAnsi="Arial" w:cs="Arial"/>
          <w:sz w:val="22"/>
        </w:rPr>
        <w:t xml:space="preserve">уникальном </w:t>
      </w:r>
      <w:r>
        <w:rPr>
          <w:rFonts w:ascii="Arial" w:hAnsi="Arial" w:cs="Arial"/>
          <w:sz w:val="22"/>
        </w:rPr>
        <w:t>номере и дате.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pStyle w:val="31"/>
        <w:rPr>
          <w:rFonts w:cs="Arial"/>
          <w:u w:val="none"/>
        </w:rPr>
      </w:pPr>
      <w:r>
        <w:rPr>
          <w:rFonts w:cs="Arial"/>
        </w:rPr>
        <w:t>В заявлении на открытие аккредитива должны быть указаны следующие необходимые реквизиты</w:t>
      </w:r>
      <w:r>
        <w:rPr>
          <w:rFonts w:cs="Arial"/>
          <w:u w:val="none"/>
        </w:rPr>
        <w:t>: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Обращение в </w:t>
      </w:r>
      <w:r w:rsidR="00D364E2">
        <w:rPr>
          <w:rFonts w:ascii="Arial" w:hAnsi="Arial" w:cs="Arial"/>
          <w:b/>
          <w:sz w:val="22"/>
        </w:rPr>
        <w:t>НКО</w:t>
      </w:r>
      <w:r w:rsidR="00A22ABC">
        <w:rPr>
          <w:rFonts w:ascii="Arial" w:hAnsi="Arial" w:cs="Arial"/>
          <w:b/>
          <w:sz w:val="22"/>
        </w:rPr>
        <w:t xml:space="preserve"> «Альтернатива»</w:t>
      </w:r>
      <w:r w:rsidR="00E9400C">
        <w:rPr>
          <w:rFonts w:ascii="Arial" w:hAnsi="Arial" w:cs="Arial"/>
          <w:b/>
          <w:sz w:val="22"/>
        </w:rPr>
        <w:t xml:space="preserve"> (</w:t>
      </w:r>
      <w:r w:rsidR="00A22ABC">
        <w:rPr>
          <w:rFonts w:ascii="Arial" w:hAnsi="Arial" w:cs="Arial"/>
          <w:b/>
          <w:sz w:val="22"/>
        </w:rPr>
        <w:t>ОО</w:t>
      </w:r>
      <w:r w:rsidR="00E9400C">
        <w:rPr>
          <w:rFonts w:ascii="Arial" w:hAnsi="Arial" w:cs="Arial"/>
          <w:b/>
          <w:sz w:val="22"/>
        </w:rPr>
        <w:t>О)</w:t>
      </w:r>
      <w:r>
        <w:rPr>
          <w:rFonts w:ascii="Arial" w:hAnsi="Arial" w:cs="Arial"/>
          <w:b/>
          <w:sz w:val="22"/>
        </w:rPr>
        <w:t>, номер и дата заявления.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b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Наименование и адрес приказодателя </w:t>
      </w:r>
      <w:r>
        <w:rPr>
          <w:rFonts w:ascii="Arial" w:hAnsi="Arial" w:cs="Arial"/>
          <w:sz w:val="22"/>
        </w:rPr>
        <w:t>(на иностранном языке).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b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Наименование и адрес бенефициара</w:t>
      </w:r>
      <w:r>
        <w:rPr>
          <w:rFonts w:ascii="Arial" w:hAnsi="Arial" w:cs="Arial"/>
          <w:sz w:val="22"/>
        </w:rPr>
        <w:t xml:space="preserve"> (на иностранном языке).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Вид аккредитива</w:t>
      </w:r>
      <w:r>
        <w:rPr>
          <w:rFonts w:ascii="Arial" w:hAnsi="Arial" w:cs="Arial"/>
          <w:sz w:val="22"/>
        </w:rPr>
        <w:t xml:space="preserve"> (документарный,</w:t>
      </w:r>
      <w:r w:rsidR="00C87D5B">
        <w:rPr>
          <w:rFonts w:ascii="Arial" w:hAnsi="Arial" w:cs="Arial"/>
          <w:sz w:val="22"/>
        </w:rPr>
        <w:t xml:space="preserve"> покрытый или непокрытый, </w:t>
      </w:r>
      <w:proofErr w:type="spellStart"/>
      <w:r>
        <w:rPr>
          <w:rFonts w:ascii="Arial" w:hAnsi="Arial" w:cs="Arial"/>
          <w:sz w:val="22"/>
        </w:rPr>
        <w:t>отзывный</w:t>
      </w:r>
      <w:proofErr w:type="spellEnd"/>
      <w:r>
        <w:rPr>
          <w:rFonts w:ascii="Arial" w:hAnsi="Arial" w:cs="Arial"/>
          <w:sz w:val="22"/>
        </w:rPr>
        <w:t xml:space="preserve"> или безотзывный, </w:t>
      </w:r>
      <w:proofErr w:type="spellStart"/>
      <w:r>
        <w:rPr>
          <w:rFonts w:ascii="Arial" w:hAnsi="Arial" w:cs="Arial"/>
          <w:sz w:val="22"/>
        </w:rPr>
        <w:t>трансферабельный</w:t>
      </w:r>
      <w:proofErr w:type="spellEnd"/>
      <w:r>
        <w:rPr>
          <w:rFonts w:ascii="Arial" w:hAnsi="Arial" w:cs="Arial"/>
          <w:sz w:val="22"/>
        </w:rPr>
        <w:t>, револьверный).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 xml:space="preserve">В случае отсутствия указания об отзывном или безотзывном характере аккредитива аккредитив открывается как безотзывный в соответствии «Унифицированными правилами и обычаями для документарных аккредитивов» (далее – </w:t>
      </w:r>
      <w:r>
        <w:rPr>
          <w:rFonts w:cs="Arial"/>
          <w:lang w:val="en-US"/>
        </w:rPr>
        <w:t>UCP</w:t>
      </w:r>
      <w:r>
        <w:rPr>
          <w:rFonts w:cs="Arial"/>
        </w:rPr>
        <w:t>).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Наименование валюты и сумма аккредитива</w:t>
      </w:r>
      <w:r>
        <w:rPr>
          <w:rFonts w:ascii="Arial" w:hAnsi="Arial" w:cs="Arial"/>
          <w:sz w:val="22"/>
        </w:rPr>
        <w:t xml:space="preserve"> (цифрами и прописью).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 xml:space="preserve">Сумма может быть указана следующим образом: </w:t>
      </w:r>
    </w:p>
    <w:p w:rsidR="006B2EEF" w:rsidRDefault="006B2EEF">
      <w:pPr>
        <w:widowControl w:val="0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фиксированная общая, </w:t>
      </w:r>
    </w:p>
    <w:p w:rsidR="006B2EEF" w:rsidRDefault="006B2EEF">
      <w:pPr>
        <w:widowControl w:val="0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максимальная </w:t>
      </w:r>
    </w:p>
    <w:p w:rsidR="006B2EEF" w:rsidRDefault="006B2EEF">
      <w:pPr>
        <w:widowControl w:val="0"/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ориентировочная</w:t>
      </w:r>
      <w:proofErr w:type="gramEnd"/>
      <w:r>
        <w:rPr>
          <w:rFonts w:ascii="Arial" w:hAnsi="Arial" w:cs="Arial"/>
          <w:sz w:val="22"/>
        </w:rPr>
        <w:t>, которую в определенных случаях можно превысить или занизить на определенный процент (</w:t>
      </w:r>
      <w:proofErr w:type="spellStart"/>
      <w:r>
        <w:rPr>
          <w:rFonts w:ascii="Arial" w:hAnsi="Arial" w:cs="Arial"/>
          <w:sz w:val="22"/>
        </w:rPr>
        <w:t>толеранс</w:t>
      </w:r>
      <w:proofErr w:type="spellEnd"/>
      <w:r>
        <w:rPr>
          <w:rFonts w:ascii="Arial" w:hAnsi="Arial" w:cs="Arial"/>
          <w:sz w:val="22"/>
        </w:rPr>
        <w:t xml:space="preserve">), например «около </w:t>
      </w:r>
      <w:r>
        <w:rPr>
          <w:rFonts w:ascii="Arial" w:hAnsi="Arial" w:cs="Arial"/>
          <w:sz w:val="22"/>
          <w:lang w:val="en-US"/>
        </w:rPr>
        <w:t>EUR</w:t>
      </w:r>
      <w:r>
        <w:rPr>
          <w:rFonts w:ascii="Arial" w:hAnsi="Arial" w:cs="Arial"/>
          <w:sz w:val="22"/>
        </w:rPr>
        <w:t xml:space="preserve"> 1,000.00» или «</w:t>
      </w:r>
      <w:r>
        <w:rPr>
          <w:rFonts w:ascii="Arial" w:hAnsi="Arial" w:cs="Arial"/>
          <w:sz w:val="22"/>
          <w:lang w:val="en-US"/>
        </w:rPr>
        <w:t>EUR</w:t>
      </w:r>
      <w:r>
        <w:rPr>
          <w:rFonts w:ascii="Arial" w:hAnsi="Arial" w:cs="Arial"/>
          <w:sz w:val="22"/>
        </w:rPr>
        <w:t xml:space="preserve"> 1,000.00 +/- 5%». </w:t>
      </w:r>
    </w:p>
    <w:p w:rsidR="006B2EEF" w:rsidRDefault="006B2EEF">
      <w:pPr>
        <w:widowControl w:val="0"/>
        <w:spacing w:after="120"/>
        <w:ind w:left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Если в отношении суммы используются выражения «около», «приблизительно» или аналогичные, то в соответствии с </w:t>
      </w:r>
      <w:r>
        <w:rPr>
          <w:rFonts w:ascii="Arial" w:hAnsi="Arial" w:cs="Arial"/>
          <w:sz w:val="22"/>
          <w:lang w:val="en-US"/>
        </w:rPr>
        <w:t>UCP</w:t>
      </w:r>
      <w:r>
        <w:rPr>
          <w:rFonts w:ascii="Arial" w:hAnsi="Arial" w:cs="Arial"/>
          <w:sz w:val="22"/>
        </w:rPr>
        <w:t xml:space="preserve"> это означает, что отклонение допустимо в пределах 10%.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В заявлении на открытие револьверного аккредитива должна быть указана квота, срок ее использования (раз в неделю, месяц, квартал или др.), порядок и количество восстановлений, а также лимит (предельная сумма) аккредитива. В зависимости от вида </w:t>
      </w:r>
      <w:proofErr w:type="spellStart"/>
      <w:r>
        <w:rPr>
          <w:rFonts w:ascii="Arial" w:hAnsi="Arial" w:cs="Arial"/>
          <w:sz w:val="22"/>
        </w:rPr>
        <w:t>револьверности</w:t>
      </w:r>
      <w:proofErr w:type="spellEnd"/>
      <w:r>
        <w:rPr>
          <w:rFonts w:ascii="Arial" w:hAnsi="Arial" w:cs="Arial"/>
          <w:sz w:val="22"/>
        </w:rPr>
        <w:t xml:space="preserve"> такие аккредитивы могут предусматривать расчеты на кумулятивной или некумулятивной основе, т.е. допускать </w:t>
      </w:r>
      <w:r>
        <w:rPr>
          <w:rFonts w:ascii="Arial" w:hAnsi="Arial" w:cs="Arial"/>
          <w:sz w:val="22"/>
        </w:rPr>
        <w:lastRenderedPageBreak/>
        <w:t>присоединение неиспользованной или не полностью использованной в предыдущий период суммы к новой квоте (восстановленной сумме аккредитива) или запрещать такое присоединение.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Дата истечения срока действия аккредитива.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Дата истечения срока действия аккредитива является последним днем, когда бенефициар может использовать данный аккредитив, т.е. представить документы в исполняющий банк. 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Если срок действия аккредитива указан в виде «</w:t>
      </w:r>
      <w:r>
        <w:rPr>
          <w:rFonts w:ascii="Arial" w:hAnsi="Arial" w:cs="Arial"/>
          <w:sz w:val="22"/>
          <w:lang w:val="en-US"/>
        </w:rPr>
        <w:t>N</w:t>
      </w:r>
      <w:r>
        <w:rPr>
          <w:rFonts w:ascii="Arial" w:hAnsi="Arial" w:cs="Arial"/>
          <w:sz w:val="22"/>
        </w:rPr>
        <w:t xml:space="preserve"> дней/недель/месяцев/лет с/от/после даты открытия аккредитива», то при выставлении аккредитива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самостоятельно рассчитывает и указывает в телекоммуникационном сообщении иностранному банку точную календарную дату окончания срока действия аккредитива, руководствуясь при этом следующими принципами:</w:t>
      </w:r>
    </w:p>
    <w:p w:rsidR="006B2EEF" w:rsidRPr="00EC5B9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 w:rsidRPr="00EC5B9F">
        <w:rPr>
          <w:rFonts w:ascii="Arial" w:hAnsi="Arial" w:cs="Arial"/>
          <w:sz w:val="22"/>
        </w:rPr>
        <w:t>Принимая во внимание положения статьи 191 Гражданского кодекса РФ и статьи 45</w:t>
      </w:r>
      <w:r w:rsidRPr="00EC5B9F">
        <w:rPr>
          <w:rFonts w:ascii="Arial" w:hAnsi="Arial" w:cs="Arial"/>
          <w:sz w:val="22"/>
          <w:lang w:val="en-US"/>
        </w:rPr>
        <w:t>d</w:t>
      </w:r>
      <w:r w:rsidRPr="00EC5B9F">
        <w:rPr>
          <w:rFonts w:ascii="Arial" w:hAnsi="Arial" w:cs="Arial"/>
          <w:sz w:val="22"/>
        </w:rPr>
        <w:t xml:space="preserve"> </w:t>
      </w:r>
      <w:r w:rsidRPr="00EC5B9F">
        <w:rPr>
          <w:rFonts w:ascii="Arial" w:hAnsi="Arial" w:cs="Arial"/>
          <w:sz w:val="22"/>
          <w:lang w:val="en-US"/>
        </w:rPr>
        <w:t>ISBP</w:t>
      </w:r>
      <w:r w:rsidRPr="00EC5B9F">
        <w:rPr>
          <w:rStyle w:val="aa"/>
          <w:rFonts w:ascii="Arial" w:hAnsi="Arial" w:cs="Arial"/>
          <w:sz w:val="22"/>
          <w:lang w:val="en-US"/>
        </w:rPr>
        <w:footnoteReference w:id="1"/>
      </w:r>
      <w:r w:rsidRPr="00EC5B9F">
        <w:rPr>
          <w:rFonts w:ascii="Arial" w:hAnsi="Arial" w:cs="Arial"/>
          <w:sz w:val="22"/>
        </w:rPr>
        <w:t>, при исчислении срока действия аккредитива, указанного в виде «</w:t>
      </w:r>
      <w:r w:rsidRPr="00EC5B9F">
        <w:rPr>
          <w:rFonts w:ascii="Arial" w:hAnsi="Arial" w:cs="Arial"/>
          <w:sz w:val="22"/>
          <w:lang w:val="en-US"/>
        </w:rPr>
        <w:t>N</w:t>
      </w:r>
      <w:r w:rsidRPr="00EC5B9F">
        <w:rPr>
          <w:rFonts w:ascii="Arial" w:hAnsi="Arial" w:cs="Arial"/>
          <w:sz w:val="22"/>
        </w:rPr>
        <w:t xml:space="preserve"> </w:t>
      </w:r>
      <w:r w:rsidRPr="00EC5B9F">
        <w:rPr>
          <w:rFonts w:ascii="Arial" w:hAnsi="Arial" w:cs="Arial"/>
          <w:sz w:val="22"/>
          <w:u w:val="single"/>
        </w:rPr>
        <w:t>дней</w:t>
      </w:r>
      <w:r w:rsidRPr="00EC5B9F">
        <w:rPr>
          <w:rFonts w:ascii="Arial" w:hAnsi="Arial" w:cs="Arial"/>
          <w:sz w:val="22"/>
        </w:rPr>
        <w:t xml:space="preserve"> с/от/после даты открытия», понимается, что слова «с/от/после» имеют равное значение, и что расчетный период начинается со дня, следующего за датой открытия.</w:t>
      </w:r>
    </w:p>
    <w:p w:rsidR="006B2EE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Принимая во внимание положения статьи 192 ГК РФ, при исчислении срока действия аккредитива, указанного в виде «</w:t>
      </w:r>
      <w:r>
        <w:rPr>
          <w:rFonts w:ascii="Arial" w:hAnsi="Arial" w:cs="Arial"/>
          <w:sz w:val="22"/>
          <w:lang w:val="en-US"/>
        </w:rPr>
        <w:t>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месяцев</w:t>
      </w:r>
      <w:r>
        <w:rPr>
          <w:rFonts w:ascii="Arial" w:hAnsi="Arial" w:cs="Arial"/>
          <w:sz w:val="22"/>
        </w:rPr>
        <w:t xml:space="preserve"> с/от/после даты открытия», в телекоммуникационном сообщении иностранному банку указывается, что срок истекает в соответствующее число последнего месяца срока. Если окончание срока, исчисляемого месяцами, приходится на такой месяц, в котором нет соответствующего числа, то срок истекает в последний день этого месяца.</w:t>
      </w:r>
    </w:p>
    <w:p w:rsidR="006B2EEF" w:rsidRDefault="006B2EEF">
      <w:pPr>
        <w:pStyle w:val="a5"/>
        <w:widowControl w:val="0"/>
        <w:spacing w:after="120"/>
        <w:ind w:left="709" w:firstLine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  <w:u w:val="single"/>
        </w:rPr>
        <w:t>Например</w:t>
      </w:r>
      <w:r>
        <w:rPr>
          <w:rFonts w:ascii="Arial" w:hAnsi="Arial" w:cs="Arial"/>
          <w:i/>
          <w:sz w:val="22"/>
        </w:rPr>
        <w:t xml:space="preserve">: если аккредитив открывается 31 августа сроком действия 6 месяцев </w:t>
      </w:r>
      <w:proofErr w:type="gramStart"/>
      <w:r>
        <w:rPr>
          <w:rFonts w:ascii="Arial" w:hAnsi="Arial" w:cs="Arial"/>
          <w:i/>
          <w:sz w:val="22"/>
        </w:rPr>
        <w:t>с даты открытия</w:t>
      </w:r>
      <w:proofErr w:type="gramEnd"/>
      <w:r>
        <w:rPr>
          <w:rFonts w:ascii="Arial" w:hAnsi="Arial" w:cs="Arial"/>
          <w:i/>
          <w:sz w:val="22"/>
        </w:rPr>
        <w:t>, то окончание срока придется на 28 февраля (в високосный год – на 29 февраля).</w:t>
      </w:r>
    </w:p>
    <w:p w:rsidR="006B2EE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Срок, определенный в неделю, рассматривается как срок, исчисляемый днями, и считается равным семи дням, соответственно, для определения даты истечения срока действия аккредитива применяется порядок, изложенный в п.1.</w:t>
      </w:r>
    </w:p>
    <w:p w:rsidR="006B2EEF" w:rsidRDefault="006B2EEF">
      <w:pPr>
        <w:pStyle w:val="a5"/>
        <w:widowControl w:val="0"/>
        <w:spacing w:after="120"/>
        <w:ind w:left="714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Указание срока в неполных неделях не допускается.</w:t>
      </w:r>
    </w:p>
    <w:p w:rsidR="006B2EE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Срок, определенный в полмесяца, рассматривается как срок, исчисляемый днями, и считается равным пятнадцати дням, соответственно, для определения даты истечения срока действия аккредитива применяется порядок, изложенный в п.1.</w:t>
      </w:r>
    </w:p>
    <w:p w:rsidR="006B2EE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Порядок определения даты истечения срока действия аккредитива, указанного в виде «</w:t>
      </w:r>
      <w:r>
        <w:rPr>
          <w:rFonts w:ascii="Arial" w:hAnsi="Arial" w:cs="Arial"/>
          <w:sz w:val="22"/>
          <w:lang w:val="en-US"/>
        </w:rPr>
        <w:t>N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t>лет</w:t>
      </w:r>
      <w:r>
        <w:rPr>
          <w:rFonts w:ascii="Arial" w:hAnsi="Arial" w:cs="Arial"/>
          <w:sz w:val="22"/>
        </w:rPr>
        <w:t xml:space="preserve"> с/от/после даты открытия», аналогичен изложенному в п.2.</w:t>
      </w:r>
    </w:p>
    <w:p w:rsidR="006B2EEF" w:rsidRDefault="006B2EEF">
      <w:pPr>
        <w:pStyle w:val="a5"/>
        <w:widowControl w:val="0"/>
        <w:numPr>
          <w:ilvl w:val="0"/>
          <w:numId w:val="30"/>
        </w:num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К сроку, исчисляемому кварталами года либо полугодиями, применяются правила для сроков, исчисляемых месяцами (п.2).</w:t>
      </w:r>
    </w:p>
    <w:p w:rsidR="006B2EEF" w:rsidRDefault="00046681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НКО</w:t>
      </w:r>
      <w:r w:rsidR="006B2EEF">
        <w:rPr>
          <w:rFonts w:ascii="Arial" w:hAnsi="Arial" w:cs="Arial"/>
          <w:sz w:val="22"/>
        </w:rPr>
        <w:t xml:space="preserve"> информирует приказодателя о точной дате истечения срока действия аккредитива в извещении о выполнении операции по открытию аккредитива.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Место истечения срока действия аккредитива.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В качестве места истечения срока действия аккредитива указывается месторасположение исполняющего банка, в который, согласно условиям аккредитива, бенефициар должен представлять документы. Соответственно, </w:t>
      </w:r>
      <w:r>
        <w:rPr>
          <w:rFonts w:ascii="Arial" w:hAnsi="Arial" w:cs="Arial"/>
          <w:sz w:val="22"/>
        </w:rPr>
        <w:lastRenderedPageBreak/>
        <w:t xml:space="preserve">если аккредитив исполняется </w:t>
      </w:r>
      <w:r w:rsidR="00D364E2">
        <w:rPr>
          <w:rFonts w:ascii="Arial" w:hAnsi="Arial" w:cs="Arial"/>
          <w:sz w:val="22"/>
        </w:rPr>
        <w:t>НКО</w:t>
      </w:r>
      <w:r w:rsidR="00A22ABC">
        <w:rPr>
          <w:rFonts w:ascii="Arial" w:hAnsi="Arial" w:cs="Arial"/>
          <w:sz w:val="22"/>
        </w:rPr>
        <w:t xml:space="preserve"> «Альтернатива» (ООО</w:t>
      </w:r>
      <w:r w:rsidR="00E9400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, Москва, место истечения следует указать «Москва, Россия»; если же аккредитив исполняется иностранным банком, местом истечения будет </w:t>
      </w:r>
      <w:r>
        <w:rPr>
          <w:rFonts w:ascii="Arial" w:hAnsi="Arial" w:cs="Arial"/>
          <w:sz w:val="22"/>
          <w:u w:val="single"/>
        </w:rPr>
        <w:t>страна</w:t>
      </w:r>
      <w:r>
        <w:rPr>
          <w:rFonts w:ascii="Arial" w:hAnsi="Arial" w:cs="Arial"/>
          <w:sz w:val="22"/>
        </w:rPr>
        <w:t xml:space="preserve"> этого банка.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Каким банком и каким способом исполняется аккредитив. Требуется ли добавление </w:t>
      </w:r>
      <w:proofErr w:type="spellStart"/>
      <w:r>
        <w:rPr>
          <w:rFonts w:ascii="Arial" w:hAnsi="Arial" w:cs="Arial"/>
          <w:b/>
          <w:sz w:val="22"/>
        </w:rPr>
        <w:t>инобанком</w:t>
      </w:r>
      <w:proofErr w:type="spellEnd"/>
      <w:r>
        <w:rPr>
          <w:rFonts w:ascii="Arial" w:hAnsi="Arial" w:cs="Arial"/>
          <w:b/>
          <w:sz w:val="22"/>
        </w:rPr>
        <w:t xml:space="preserve"> подтверждения по аккредитиву.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 xml:space="preserve">В аккредитиве должно быть четко указано, каким способом он исполняется. Способы исполнения аккредитива: </w:t>
      </w:r>
    </w:p>
    <w:p w:rsidR="006B2EEF" w:rsidRDefault="006B2EEF">
      <w:pPr>
        <w:pStyle w:val="30"/>
        <w:widowControl w:val="0"/>
        <w:numPr>
          <w:ilvl w:val="0"/>
          <w:numId w:val="32"/>
        </w:numPr>
        <w:spacing w:after="120"/>
        <w:rPr>
          <w:rFonts w:cs="Arial"/>
        </w:rPr>
      </w:pPr>
      <w:r>
        <w:rPr>
          <w:rFonts w:cs="Arial"/>
        </w:rPr>
        <w:t>путем платежа по предъявлении документов (</w:t>
      </w:r>
      <w:r>
        <w:rPr>
          <w:rFonts w:cs="Arial"/>
          <w:lang w:val="en-US"/>
        </w:rPr>
        <w:t>by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payment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at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sight</w:t>
      </w:r>
      <w:r>
        <w:rPr>
          <w:rFonts w:cs="Arial"/>
        </w:rPr>
        <w:t>);</w:t>
      </w:r>
    </w:p>
    <w:p w:rsidR="006B2EEF" w:rsidRDefault="006B2EEF">
      <w:pPr>
        <w:pStyle w:val="30"/>
        <w:widowControl w:val="0"/>
        <w:numPr>
          <w:ilvl w:val="0"/>
          <w:numId w:val="32"/>
        </w:numPr>
        <w:spacing w:after="120"/>
        <w:rPr>
          <w:rFonts w:cs="Arial"/>
          <w:lang w:val="en-US"/>
        </w:rPr>
      </w:pPr>
      <w:r>
        <w:rPr>
          <w:rFonts w:cs="Arial"/>
        </w:rPr>
        <w:t>путем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отсроченного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платежа</w:t>
      </w:r>
      <w:r>
        <w:rPr>
          <w:rFonts w:cs="Arial"/>
          <w:lang w:val="en-US"/>
        </w:rPr>
        <w:t xml:space="preserve"> (by deferred payment);</w:t>
      </w:r>
    </w:p>
    <w:p w:rsidR="006B2EEF" w:rsidRDefault="006B2EEF">
      <w:pPr>
        <w:pStyle w:val="30"/>
        <w:widowControl w:val="0"/>
        <w:numPr>
          <w:ilvl w:val="0"/>
          <w:numId w:val="32"/>
        </w:numPr>
        <w:spacing w:after="120"/>
        <w:rPr>
          <w:rFonts w:cs="Arial"/>
          <w:lang w:val="en-US"/>
        </w:rPr>
      </w:pPr>
      <w:r>
        <w:rPr>
          <w:rFonts w:cs="Arial"/>
        </w:rPr>
        <w:t>путем</w:t>
      </w:r>
      <w:r>
        <w:rPr>
          <w:rFonts w:cs="Arial"/>
          <w:lang w:val="en-US"/>
        </w:rPr>
        <w:t xml:space="preserve"> </w:t>
      </w:r>
      <w:r>
        <w:rPr>
          <w:rFonts w:cs="Arial"/>
        </w:rPr>
        <w:t>негоциации</w:t>
      </w:r>
      <w:r>
        <w:rPr>
          <w:rFonts w:cs="Arial"/>
          <w:lang w:val="en-US"/>
        </w:rPr>
        <w:t xml:space="preserve"> (by negotiation);</w:t>
      </w:r>
    </w:p>
    <w:p w:rsidR="006B2EEF" w:rsidRDefault="006B2EEF">
      <w:pPr>
        <w:pStyle w:val="30"/>
        <w:widowControl w:val="0"/>
        <w:numPr>
          <w:ilvl w:val="0"/>
          <w:numId w:val="32"/>
        </w:numPr>
        <w:spacing w:after="120"/>
        <w:rPr>
          <w:rFonts w:cs="Arial"/>
        </w:rPr>
      </w:pPr>
      <w:r>
        <w:rPr>
          <w:rFonts w:cs="Arial"/>
        </w:rPr>
        <w:t>путем акцепта (</w:t>
      </w:r>
      <w:r>
        <w:rPr>
          <w:rFonts w:cs="Arial"/>
          <w:lang w:val="en-US"/>
        </w:rPr>
        <w:t>by</w:t>
      </w:r>
      <w:r>
        <w:rPr>
          <w:rFonts w:cs="Arial"/>
        </w:rPr>
        <w:t xml:space="preserve"> </w:t>
      </w:r>
      <w:r>
        <w:rPr>
          <w:rFonts w:cs="Arial"/>
          <w:lang w:val="en-US"/>
        </w:rPr>
        <w:t>acceptance</w:t>
      </w:r>
      <w:r>
        <w:rPr>
          <w:rFonts w:cs="Arial"/>
        </w:rPr>
        <w:t xml:space="preserve">) срочных тратт (переводных векселей), выставленных бенефициаром на указанный иностранный банк. </w:t>
      </w: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Аккредитив с платежом по предъявлении документов является наиболее широко распространенным видом аккредитива. Расчеты с бенефициаром производятся непосредственно после представления предусмотренных документов, если соблюдены условия аккредитива. При этом учитывается время, необходимое для проверки документов банками – участниками расчетов.</w:t>
      </w: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Если аккредитив предусматривает рассрочку платежа, бенефициар получает платеж не в момент представления документов в исполняющий банк, а в более поздний срок, предусмотренный в условиях аккредитива.</w:t>
      </w: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Негоциация означает предоставление бенефициару стоимости тратты и/или документов банком, уполномоченным на негоциацию (</w:t>
      </w:r>
      <w:proofErr w:type="spellStart"/>
      <w:r>
        <w:rPr>
          <w:rFonts w:ascii="Arial" w:hAnsi="Arial" w:cs="Arial"/>
          <w:sz w:val="22"/>
        </w:rPr>
        <w:t>негоциирующий</w:t>
      </w:r>
      <w:proofErr w:type="spellEnd"/>
      <w:r>
        <w:rPr>
          <w:rFonts w:ascii="Arial" w:hAnsi="Arial" w:cs="Arial"/>
          <w:sz w:val="22"/>
        </w:rPr>
        <w:t xml:space="preserve"> банк), и фактически представляет собой «покупку» у бенефициара документов, соответствующих условиям аккредитива.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>При расчетах по акцептному аккредитиву при представлении документов осуществляется акцепт тратты с последующей ее оплатой по наступлении срока платежа.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Возможно сочетание способов исполнения аккредитива, т.е. исполнение аккредитива путем смешанного платежа (</w:t>
      </w:r>
      <w:r>
        <w:rPr>
          <w:rFonts w:ascii="Arial" w:hAnsi="Arial" w:cs="Arial"/>
          <w:sz w:val="22"/>
          <w:lang w:val="en-US"/>
        </w:rPr>
        <w:t>by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n-US"/>
        </w:rPr>
        <w:t>mixed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en-US"/>
        </w:rPr>
        <w:t>payment</w:t>
      </w:r>
      <w:r>
        <w:rPr>
          <w:rFonts w:ascii="Arial" w:hAnsi="Arial" w:cs="Arial"/>
          <w:sz w:val="22"/>
        </w:rPr>
        <w:t xml:space="preserve">), например, часть суммы представляемых бенефициаром документов и, соответственно, аккредитива оплачивается по предъявлении, а часть суммы – с отсрочкой. 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Если аккредитив предусматривает отсрочку (рассрочку) платежа, то в условиях аккредитива указывается либо конкретная календарная дата отсроченного платежа либо порядок исчисления его срока («</w:t>
      </w:r>
      <w:r>
        <w:rPr>
          <w:rFonts w:ascii="Arial" w:hAnsi="Arial" w:cs="Arial"/>
          <w:sz w:val="22"/>
          <w:lang w:val="en-US"/>
        </w:rPr>
        <w:t>N</w:t>
      </w:r>
      <w:r>
        <w:rPr>
          <w:rFonts w:ascii="Arial" w:hAnsi="Arial" w:cs="Arial"/>
          <w:sz w:val="22"/>
        </w:rPr>
        <w:t xml:space="preserve"> дней/месяцев/лет после даты отгрузки/представления документов в исполняющий банк»). Может быть предусмотрен график отсроченных платежей.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Аккредитив должен указывать, в каком банке он исполняется, причем испол</w:t>
      </w:r>
      <w:r w:rsidR="003C3B2C">
        <w:rPr>
          <w:rFonts w:ascii="Arial" w:hAnsi="Arial" w:cs="Arial"/>
          <w:sz w:val="22"/>
        </w:rPr>
        <w:t xml:space="preserve">няющим банком может быть как </w:t>
      </w:r>
      <w:r w:rsidR="00D364E2">
        <w:rPr>
          <w:rFonts w:ascii="Arial" w:hAnsi="Arial" w:cs="Arial"/>
          <w:sz w:val="22"/>
        </w:rPr>
        <w:t>НКО</w:t>
      </w:r>
      <w:r w:rsidR="003C3B2C">
        <w:rPr>
          <w:rFonts w:ascii="Arial" w:hAnsi="Arial" w:cs="Arial"/>
          <w:sz w:val="22"/>
        </w:rPr>
        <w:t xml:space="preserve"> «Альтернатива» (ООО)</w:t>
      </w:r>
      <w:r>
        <w:rPr>
          <w:rFonts w:ascii="Arial" w:hAnsi="Arial" w:cs="Arial"/>
          <w:sz w:val="22"/>
        </w:rPr>
        <w:t>, так и иностранный банк (обычно банк продавца). Для приказодателя более выгодно, когда исполняющим банком выступает бан</w:t>
      </w:r>
      <w:r w:rsidR="003C3B2C">
        <w:rPr>
          <w:rFonts w:ascii="Arial" w:hAnsi="Arial" w:cs="Arial"/>
          <w:sz w:val="22"/>
        </w:rPr>
        <w:t xml:space="preserve">к-эмитент (в данном случае – </w:t>
      </w:r>
      <w:r w:rsidR="00D364E2">
        <w:rPr>
          <w:rFonts w:ascii="Arial" w:hAnsi="Arial" w:cs="Arial"/>
          <w:sz w:val="22"/>
        </w:rPr>
        <w:t xml:space="preserve">НКО </w:t>
      </w:r>
      <w:r w:rsidR="003C3B2C">
        <w:rPr>
          <w:rFonts w:ascii="Arial" w:hAnsi="Arial" w:cs="Arial"/>
          <w:sz w:val="22"/>
        </w:rPr>
        <w:t>«Альтернатива» (ООО</w:t>
      </w:r>
      <w:r>
        <w:rPr>
          <w:rFonts w:ascii="Arial" w:hAnsi="Arial" w:cs="Arial"/>
          <w:sz w:val="22"/>
        </w:rPr>
        <w:t>). Однако если бенефициар настаивает на выставлении подтвержденного аккредитива, исполняющим будет иностранн</w:t>
      </w:r>
      <w:r w:rsidR="003C3B2C">
        <w:rPr>
          <w:rFonts w:ascii="Arial" w:hAnsi="Arial" w:cs="Arial"/>
          <w:sz w:val="22"/>
        </w:rPr>
        <w:t xml:space="preserve">ый банк и у такого банка </w:t>
      </w:r>
      <w:r w:rsidR="00DD7033">
        <w:rPr>
          <w:rFonts w:ascii="Arial" w:hAnsi="Arial" w:cs="Arial"/>
          <w:sz w:val="22"/>
        </w:rPr>
        <w:t>НКО</w:t>
      </w:r>
      <w:r w:rsidR="003C3B2C">
        <w:rPr>
          <w:rFonts w:ascii="Arial" w:hAnsi="Arial" w:cs="Arial"/>
          <w:sz w:val="22"/>
        </w:rPr>
        <w:t xml:space="preserve"> «Альтернатива» (ООО)</w:t>
      </w:r>
      <w:r>
        <w:rPr>
          <w:rFonts w:ascii="Arial" w:hAnsi="Arial" w:cs="Arial"/>
          <w:sz w:val="22"/>
        </w:rPr>
        <w:t xml:space="preserve"> запросит добавление подтверждения к аккредитиву. Если наименование исполняющего/подтверждающего банка</w:t>
      </w:r>
      <w:r w:rsidR="003C3B2C">
        <w:rPr>
          <w:rFonts w:ascii="Arial" w:hAnsi="Arial" w:cs="Arial"/>
          <w:sz w:val="22"/>
        </w:rPr>
        <w:t xml:space="preserve"> не указано, он будет выбран </w:t>
      </w:r>
      <w:r w:rsidR="00DD7033">
        <w:rPr>
          <w:rFonts w:ascii="Arial" w:hAnsi="Arial" w:cs="Arial"/>
          <w:sz w:val="22"/>
        </w:rPr>
        <w:t>НКО</w:t>
      </w:r>
      <w:r w:rsidR="003C3B2C">
        <w:rPr>
          <w:rFonts w:ascii="Arial" w:hAnsi="Arial" w:cs="Arial"/>
          <w:sz w:val="22"/>
        </w:rPr>
        <w:t xml:space="preserve"> «Альтернатива» (ООО)</w:t>
      </w:r>
      <w:r>
        <w:rPr>
          <w:rFonts w:ascii="Arial" w:hAnsi="Arial" w:cs="Arial"/>
          <w:sz w:val="22"/>
        </w:rPr>
        <w:t xml:space="preserve"> по своему усмотрению.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Наименование авизующего банка</w:t>
      </w:r>
      <w:r>
        <w:rPr>
          <w:rFonts w:ascii="Arial" w:hAnsi="Arial" w:cs="Arial"/>
          <w:sz w:val="22"/>
        </w:rPr>
        <w:t xml:space="preserve"> (на иностранном языке).</w:t>
      </w:r>
    </w:p>
    <w:p w:rsidR="006B2EEF" w:rsidRDefault="006B2EEF">
      <w:pPr>
        <w:widowControl w:val="0"/>
        <w:spacing w:after="12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При выставлении аккредитива сообщение о его открытии, как правило, направляется банком-эмитентом бенефициару по телекоммуникационным каналам связи через другой банк (извещающий или авизующий банк). Если </w:t>
      </w:r>
      <w:r>
        <w:rPr>
          <w:rFonts w:ascii="Arial" w:hAnsi="Arial" w:cs="Arial"/>
          <w:sz w:val="22"/>
        </w:rPr>
        <w:lastRenderedPageBreak/>
        <w:t xml:space="preserve">аккредитив исполняется/подтверждается </w:t>
      </w:r>
      <w:proofErr w:type="spellStart"/>
      <w:r>
        <w:rPr>
          <w:rFonts w:ascii="Arial" w:hAnsi="Arial" w:cs="Arial"/>
          <w:sz w:val="22"/>
        </w:rPr>
        <w:t>инобанком</w:t>
      </w:r>
      <w:proofErr w:type="spellEnd"/>
      <w:r>
        <w:rPr>
          <w:rFonts w:ascii="Arial" w:hAnsi="Arial" w:cs="Arial"/>
          <w:sz w:val="22"/>
        </w:rPr>
        <w:t xml:space="preserve">, то </w:t>
      </w:r>
      <w:r>
        <w:rPr>
          <w:rFonts w:ascii="Arial" w:hAnsi="Arial" w:cs="Arial"/>
          <w:sz w:val="22"/>
          <w:lang w:val="en-US"/>
        </w:rPr>
        <w:t>SWIFT</w:t>
      </w:r>
      <w:r>
        <w:rPr>
          <w:rFonts w:ascii="Arial" w:hAnsi="Arial" w:cs="Arial"/>
          <w:sz w:val="22"/>
        </w:rPr>
        <w:t xml:space="preserve">-сообщение будет направлено в этот банк, возможно, с инструкциями авизовать его бенефициару через третий банк (второй авизующий банк), которым чаще всего является банк, наиболее близко/удобно расположенный к экспортеру и/или в котором экспортер держит счет. Если авизующий банк не является исполняющим и/или подтверждающим, простое извещение бенефициара об открытом в его пользу аккредитиве не возлагает на такой банк обязательство платежа, акцепта или негоциации. Если же в силу полномочия или просьбы банка-эмитента </w:t>
      </w:r>
      <w:proofErr w:type="spellStart"/>
      <w:r>
        <w:rPr>
          <w:rFonts w:ascii="Arial" w:hAnsi="Arial" w:cs="Arial"/>
          <w:sz w:val="22"/>
        </w:rPr>
        <w:t>инобанк</w:t>
      </w:r>
      <w:proofErr w:type="spellEnd"/>
      <w:r>
        <w:rPr>
          <w:rFonts w:ascii="Arial" w:hAnsi="Arial" w:cs="Arial"/>
          <w:sz w:val="22"/>
        </w:rPr>
        <w:t xml:space="preserve"> добавляет к аккредитиву свое подтверждение (безотзывный подтвержденный аккредитив), то тем самым он, в дополнение к обязательству банка, открывшего аккредитив, берет на себя самостоятельное твердое обязательство произвести исполнение по аккредитиву, если представлены предусмотренные документы и соблюдены все условия.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Если необходимо,</w:t>
      </w:r>
      <w:r>
        <w:rPr>
          <w:rFonts w:ascii="Arial" w:hAnsi="Arial" w:cs="Arial"/>
          <w:b/>
          <w:sz w:val="22"/>
        </w:rPr>
        <w:t xml:space="preserve"> пометка о разрешении частичных отгрузок.</w:t>
      </w:r>
    </w:p>
    <w:p w:rsidR="006B2EEF" w:rsidRDefault="006B2EEF">
      <w:pPr>
        <w:widowControl w:val="0"/>
        <w:spacing w:after="120"/>
        <w:ind w:firstLine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Если необходимо,</w:t>
      </w:r>
      <w:r>
        <w:rPr>
          <w:rFonts w:ascii="Arial" w:hAnsi="Arial" w:cs="Arial"/>
          <w:b/>
          <w:sz w:val="22"/>
        </w:rPr>
        <w:t xml:space="preserve"> пометка о разрешении перегрузок.</w:t>
      </w:r>
    </w:p>
    <w:p w:rsidR="006B2EEF" w:rsidRDefault="006B2EEF">
      <w:pPr>
        <w:pStyle w:val="30"/>
        <w:widowControl w:val="0"/>
        <w:rPr>
          <w:rFonts w:cs="Arial"/>
        </w:rPr>
      </w:pPr>
      <w:r>
        <w:rPr>
          <w:rFonts w:cs="Arial"/>
        </w:rPr>
        <w:t>Указываются в соответствии с контрактом.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9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Место принятия к перевозке/отправка из …/место получения </w:t>
      </w:r>
      <w:r>
        <w:rPr>
          <w:rFonts w:ascii="Arial" w:hAnsi="Arial" w:cs="Arial"/>
          <w:bCs/>
          <w:sz w:val="22"/>
        </w:rPr>
        <w:t>(товара).</w:t>
      </w:r>
    </w:p>
    <w:p w:rsidR="006B2EEF" w:rsidRDefault="006B2EEF">
      <w:pPr>
        <w:widowControl w:val="0"/>
        <w:spacing w:after="120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Порт погрузки/аэропорт отправления.</w:t>
      </w:r>
    </w:p>
    <w:p w:rsidR="006B2EEF" w:rsidRDefault="006B2EEF">
      <w:pPr>
        <w:widowControl w:val="0"/>
        <w:spacing w:after="120"/>
        <w:ind w:left="36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Порт разгрузки/аэропорт прибытия.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Место конечного назначения/ для транспортировки в …/ место поставки.</w:t>
      </w:r>
    </w:p>
    <w:p w:rsidR="006B2EEF" w:rsidRDefault="006B2EEF">
      <w:pPr>
        <w:pStyle w:val="a7"/>
        <w:widowControl w:val="0"/>
        <w:spacing w:after="120"/>
        <w:ind w:left="357"/>
        <w:rPr>
          <w:rFonts w:cs="Arial"/>
          <w:sz w:val="22"/>
        </w:rPr>
      </w:pPr>
      <w:r>
        <w:rPr>
          <w:rFonts w:cs="Arial"/>
          <w:sz w:val="22"/>
        </w:rPr>
        <w:t>Указываются в соответствии с контрактом в товарных аккредитивах, т.е. аккредитивах, открытых для расчетов за поставляемый товар и предусматривающих представление отгрузочных документов.</w:t>
      </w:r>
    </w:p>
    <w:p w:rsidR="006B2EEF" w:rsidRDefault="006B2EEF">
      <w:pPr>
        <w:pStyle w:val="a7"/>
        <w:widowControl w:val="0"/>
        <w:spacing w:after="120"/>
        <w:ind w:left="357"/>
        <w:rPr>
          <w:rFonts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>Если необходимо,</w:t>
      </w:r>
      <w:r>
        <w:rPr>
          <w:rFonts w:ascii="Arial" w:hAnsi="Arial" w:cs="Arial"/>
          <w:b/>
          <w:sz w:val="22"/>
        </w:rPr>
        <w:t xml:space="preserve"> последняя дата отгрузки или период отгрузки.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>Последней датой отгрузки устанавливается, до какого дня товар должен быть отгружен. Выполнения данного условия аккредитива проверяется на основании представляемого транспортного документа. Последняя дата отгрузки должна быть согласована со сроком платежа и/или сроком действия аккредитива таким образом, чтобы оставалось достаточно времени для представления документов.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Описание товара</w:t>
      </w:r>
      <w:r>
        <w:rPr>
          <w:rFonts w:ascii="Arial" w:hAnsi="Arial" w:cs="Arial"/>
          <w:sz w:val="22"/>
        </w:rPr>
        <w:t xml:space="preserve"> (на иностранном языке).</w:t>
      </w:r>
    </w:p>
    <w:p w:rsidR="006B2EEF" w:rsidRDefault="00046681">
      <w:pPr>
        <w:widowControl w:val="0"/>
        <w:spacing w:after="120"/>
        <w:ind w:left="357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>НКО</w:t>
      </w:r>
      <w:r w:rsidR="006B2EEF">
        <w:rPr>
          <w:rFonts w:ascii="Arial" w:hAnsi="Arial" w:cs="Arial"/>
          <w:i/>
          <w:sz w:val="22"/>
        </w:rPr>
        <w:t xml:space="preserve"> </w:t>
      </w:r>
      <w:r w:rsidR="006B2EEF">
        <w:rPr>
          <w:rFonts w:ascii="Arial" w:hAnsi="Arial" w:cs="Arial"/>
          <w:sz w:val="22"/>
        </w:rPr>
        <w:t>может отклонить слишком подробное описание товаров, чтобы избежать ошибок и недоразумений. Наименование товара должно быть полным и точным, с выделением существенных признаков, но не технических деталей. Если при открытии аккредитива еще не известно точное количество товара, то используется выражение «около», которое допускает отклонение в 10% от первоначально указанного. Без добавления этого слова в определенных случаях разрешается отклонение в 5% при условии, что сумма требований не будет превышать суммы аккредитива. Если сумма аккредитива указана со словом «около», то и количество товара указывается со словом «около».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Номер и дата контракта.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b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Условия поставки.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 w:rsidRPr="00EC5B9F">
        <w:rPr>
          <w:rFonts w:ascii="Arial" w:hAnsi="Arial" w:cs="Arial"/>
          <w:sz w:val="22"/>
        </w:rPr>
        <w:lastRenderedPageBreak/>
        <w:t xml:space="preserve">Указываются в соответствии с контрактом. Обычно подчиняются официальным правилам Международной Торговой Палаты для толкования </w:t>
      </w:r>
      <w:r w:rsidR="00EC5B9F" w:rsidRPr="00EC5B9F">
        <w:rPr>
          <w:rFonts w:ascii="Arial" w:hAnsi="Arial" w:cs="Arial"/>
          <w:sz w:val="22"/>
        </w:rPr>
        <w:t>торговых терминов «</w:t>
      </w:r>
      <w:proofErr w:type="spellStart"/>
      <w:r w:rsidR="00EC5B9F" w:rsidRPr="00EC5B9F">
        <w:rPr>
          <w:rFonts w:ascii="Arial" w:hAnsi="Arial" w:cs="Arial"/>
          <w:sz w:val="22"/>
        </w:rPr>
        <w:t>Инкотермс</w:t>
      </w:r>
      <w:proofErr w:type="spellEnd"/>
      <w:r w:rsidR="00EC5B9F" w:rsidRPr="00EC5B9F">
        <w:rPr>
          <w:rFonts w:ascii="Arial" w:hAnsi="Arial" w:cs="Arial"/>
          <w:sz w:val="22"/>
        </w:rPr>
        <w:t xml:space="preserve"> 202</w:t>
      </w:r>
      <w:r w:rsidR="00EC5B9F">
        <w:rPr>
          <w:rFonts w:ascii="Arial" w:hAnsi="Arial" w:cs="Arial"/>
          <w:sz w:val="22"/>
        </w:rPr>
        <w:t>0»</w:t>
      </w:r>
      <w:r w:rsidRPr="00EC5B9F">
        <w:rPr>
          <w:rFonts w:ascii="Arial" w:hAnsi="Arial" w:cs="Arial"/>
          <w:sz w:val="22"/>
        </w:rPr>
        <w:t>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Перечень документов</w:t>
      </w:r>
      <w:r>
        <w:rPr>
          <w:rFonts w:ascii="Arial" w:hAnsi="Arial" w:cs="Arial"/>
          <w:sz w:val="22"/>
        </w:rPr>
        <w:t>, против которых должен быть произведен платеж по аккредитиву (на иностранном языке).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Необходимо точно указать, при представлении каких документов по аккредитиву (с указанием количества необходимых оригиналов и/или копий) должен быть осуществлен платеж/акцепт/негоциация. При этом наличие счета-фактуры (</w:t>
      </w:r>
      <w:r>
        <w:rPr>
          <w:rFonts w:ascii="Arial" w:hAnsi="Arial" w:cs="Arial"/>
          <w:sz w:val="22"/>
          <w:lang w:val="en-US"/>
        </w:rPr>
        <w:t>invoice</w:t>
      </w:r>
      <w:r>
        <w:rPr>
          <w:rFonts w:ascii="Arial" w:hAnsi="Arial" w:cs="Arial"/>
          <w:sz w:val="22"/>
        </w:rPr>
        <w:t>) в каждом комплекте документов обязательно.</w:t>
      </w:r>
    </w:p>
    <w:p w:rsidR="006B2EEF" w:rsidRPr="00A22ABC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 xml:space="preserve">В случае если контрактом и, соответственно, аккредитивом предусмотрено несколько этапов платежей (авансовый платеж, оплата отгрузок, выполнения экспортером работ и/или оказания услуг, например, по обучению персонала приказодателя, окончательный расчет после ввода оборудования в эксплуатацию и т.п. в любом сочетании), то в условиях аккредитива для каждого этапа должен быть указан свой перечень документов. 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>Например, по аккредитиву, сумма которого равна 100,000.00 долларов США и составляет 100% суммы контракта, перечень документов может быть сформулирован следующим образом:</w:t>
      </w:r>
    </w:p>
    <w:p w:rsidR="006B2EEF" w:rsidRDefault="006B2EEF">
      <w:pPr>
        <w:ind w:left="357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«</w:t>
      </w:r>
      <w:r>
        <w:rPr>
          <w:rFonts w:ascii="Arial" w:hAnsi="Arial" w:cs="Arial"/>
          <w:i/>
          <w:iCs/>
        </w:rPr>
        <w:t>А</w:t>
      </w:r>
      <w:r>
        <w:rPr>
          <w:rFonts w:ascii="Arial" w:hAnsi="Arial" w:cs="Arial"/>
          <w:i/>
          <w:iCs/>
          <w:lang w:val="en-US"/>
        </w:rPr>
        <w:t>.</w:t>
      </w:r>
      <w:r>
        <w:rPr>
          <w:rFonts w:ascii="Arial" w:hAnsi="Arial" w:cs="Arial"/>
          <w:b/>
          <w:i/>
          <w:iCs/>
          <w:lang w:val="en-US"/>
        </w:rPr>
        <w:t xml:space="preserve"> </w:t>
      </w:r>
      <w:proofErr w:type="gramStart"/>
      <w:r>
        <w:rPr>
          <w:rFonts w:ascii="Arial" w:hAnsi="Arial" w:cs="Arial"/>
          <w:bCs/>
          <w:i/>
          <w:iCs/>
          <w:lang w:val="en-US"/>
        </w:rPr>
        <w:t>The</w:t>
      </w:r>
      <w:proofErr w:type="gramEnd"/>
      <w:r>
        <w:rPr>
          <w:rFonts w:ascii="Arial" w:hAnsi="Arial" w:cs="Arial"/>
          <w:bCs/>
          <w:i/>
          <w:iCs/>
          <w:lang w:val="en-US"/>
        </w:rPr>
        <w:t xml:space="preserve"> amount of USD 15,000.00 (being 15% of the contract value) shall be paid provided presentation of the following documents:</w:t>
      </w:r>
    </w:p>
    <w:p w:rsidR="006B2EEF" w:rsidRDefault="006B2EEF">
      <w:pPr>
        <w:ind w:firstLine="708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 xml:space="preserve">A1. </w:t>
      </w:r>
      <w:proofErr w:type="gramStart"/>
      <w:r>
        <w:rPr>
          <w:rFonts w:ascii="Arial" w:hAnsi="Arial" w:cs="Arial"/>
          <w:bCs/>
          <w:i/>
          <w:iCs/>
          <w:lang w:val="en-US"/>
        </w:rPr>
        <w:t>One original and 2 copies of Commercial Invoice for USD 15,000.00.</w:t>
      </w:r>
      <w:proofErr w:type="gramEnd"/>
    </w:p>
    <w:p w:rsidR="006B2EEF" w:rsidRDefault="006B2EEF">
      <w:pPr>
        <w:ind w:left="708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 xml:space="preserve">A2. </w:t>
      </w:r>
      <w:r>
        <w:rPr>
          <w:rFonts w:ascii="Arial" w:hAnsi="Arial"/>
          <w:i/>
          <w:iCs/>
          <w:lang w:val="en-US"/>
        </w:rPr>
        <w:t xml:space="preserve">One original of unconditional and irrevocable Bank Guarantee on the return of the advance payment in the amount of USD 15,000.00, issued by a first class bank in </w:t>
      </w:r>
      <w:proofErr w:type="spellStart"/>
      <w:r>
        <w:rPr>
          <w:rFonts w:ascii="Arial" w:hAnsi="Arial"/>
          <w:i/>
          <w:iCs/>
          <w:lang w:val="en-US"/>
        </w:rPr>
        <w:t>favour</w:t>
      </w:r>
      <w:proofErr w:type="spellEnd"/>
      <w:r>
        <w:rPr>
          <w:rFonts w:ascii="Arial" w:hAnsi="Arial"/>
          <w:i/>
          <w:iCs/>
          <w:lang w:val="en-US"/>
        </w:rPr>
        <w:t xml:space="preserve"> of the Applicant. </w:t>
      </w:r>
      <w:r>
        <w:rPr>
          <w:rFonts w:ascii="Arial" w:hAnsi="Arial"/>
          <w:b/>
          <w:bCs/>
          <w:i/>
          <w:iCs/>
        </w:rPr>
        <w:t>или</w:t>
      </w:r>
      <w:r>
        <w:rPr>
          <w:rFonts w:ascii="Arial" w:hAnsi="Arial"/>
          <w:i/>
          <w:iCs/>
          <w:lang w:val="en-US"/>
        </w:rPr>
        <w:t xml:space="preserve"> One original of the Beneficiary’s notification of 90 days readiness of the goods for shipment. </w:t>
      </w:r>
      <w:r>
        <w:rPr>
          <w:rFonts w:ascii="Arial" w:hAnsi="Arial"/>
          <w:b/>
          <w:bCs/>
          <w:i/>
          <w:iCs/>
        </w:rPr>
        <w:t>или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иной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документ</w:t>
      </w:r>
      <w:r>
        <w:rPr>
          <w:rFonts w:ascii="Arial" w:hAnsi="Arial"/>
          <w:b/>
          <w:bCs/>
          <w:i/>
          <w:iCs/>
          <w:lang w:val="en-US"/>
        </w:rPr>
        <w:t xml:space="preserve">, </w:t>
      </w:r>
      <w:r>
        <w:rPr>
          <w:rFonts w:ascii="Arial" w:hAnsi="Arial"/>
          <w:b/>
          <w:bCs/>
          <w:i/>
          <w:iCs/>
        </w:rPr>
        <w:t>согласованный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сторонами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по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коммерческому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контракту</w:t>
      </w:r>
    </w:p>
    <w:p w:rsidR="006B2EEF" w:rsidRDefault="006B2EEF">
      <w:pPr>
        <w:ind w:left="284"/>
        <w:jc w:val="both"/>
        <w:rPr>
          <w:rFonts w:ascii="Arial" w:hAnsi="Arial" w:cs="Arial"/>
          <w:i/>
          <w:iCs/>
          <w:lang w:val="en-US"/>
        </w:rPr>
      </w:pPr>
    </w:p>
    <w:p w:rsidR="006B2EEF" w:rsidRDefault="006B2EEF">
      <w:pPr>
        <w:ind w:left="357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B.</w:t>
      </w:r>
      <w:r>
        <w:rPr>
          <w:rFonts w:ascii="Arial" w:hAnsi="Arial" w:cs="Arial"/>
          <w:b/>
          <w:i/>
          <w:iCs/>
          <w:lang w:val="en-US"/>
        </w:rPr>
        <w:t xml:space="preserve"> </w:t>
      </w:r>
      <w:r>
        <w:rPr>
          <w:rFonts w:ascii="Arial" w:hAnsi="Arial" w:cs="Arial"/>
          <w:bCs/>
          <w:i/>
          <w:iCs/>
          <w:lang w:val="en-US"/>
        </w:rPr>
        <w:t>The amount of USD 75,000.00 (being 75% of the contract value) shall be paid provided presentation of the following documents:</w:t>
      </w:r>
    </w:p>
    <w:p w:rsidR="006B2EEF" w:rsidRDefault="006B2EEF">
      <w:pPr>
        <w:ind w:left="705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>B1. . One original and 2 copies of Commercial Invoice issued for total value of the goods shipped and indicating the amount due for payment (computed as 75% of the consignment value);</w:t>
      </w:r>
    </w:p>
    <w:p w:rsidR="006B2EEF" w:rsidRDefault="006B2EEF">
      <w:pPr>
        <w:spacing w:before="20"/>
        <w:ind w:left="705"/>
        <w:jc w:val="both"/>
        <w:rPr>
          <w:rFonts w:ascii="Arial" w:hAnsi="Arial" w:cs="Arial"/>
          <w:bCs/>
          <w:i/>
          <w:iCs/>
          <w:lang w:val="en-US"/>
        </w:rPr>
      </w:pPr>
      <w:r>
        <w:rPr>
          <w:rFonts w:ascii="Arial" w:hAnsi="Arial" w:cs="Arial"/>
          <w:bCs/>
          <w:i/>
          <w:iCs/>
          <w:lang w:val="en-US"/>
        </w:rPr>
        <w:t xml:space="preserve">B2. Full set of originals of Bill of Lading issued in the name of consignee… </w:t>
      </w:r>
      <w:r>
        <w:rPr>
          <w:rFonts w:ascii="Arial" w:hAnsi="Arial"/>
          <w:b/>
          <w:bCs/>
          <w:i/>
          <w:iCs/>
        </w:rPr>
        <w:t>или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иной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транспортный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документ</w:t>
      </w:r>
      <w:r>
        <w:rPr>
          <w:rFonts w:ascii="Arial" w:hAnsi="Arial"/>
          <w:b/>
          <w:bCs/>
          <w:i/>
          <w:iCs/>
          <w:lang w:val="en-US"/>
        </w:rPr>
        <w:t xml:space="preserve"> (</w:t>
      </w:r>
      <w:r>
        <w:rPr>
          <w:rFonts w:ascii="Arial" w:hAnsi="Arial"/>
          <w:b/>
          <w:bCs/>
          <w:i/>
          <w:iCs/>
        </w:rPr>
        <w:t>авто</w:t>
      </w:r>
      <w:r>
        <w:rPr>
          <w:rFonts w:ascii="Arial" w:hAnsi="Arial"/>
          <w:b/>
          <w:bCs/>
          <w:i/>
          <w:iCs/>
          <w:lang w:val="en-US"/>
        </w:rPr>
        <w:t xml:space="preserve">-, </w:t>
      </w:r>
      <w:r>
        <w:rPr>
          <w:rFonts w:ascii="Arial" w:hAnsi="Arial"/>
          <w:b/>
          <w:bCs/>
          <w:i/>
          <w:iCs/>
        </w:rPr>
        <w:t>авиа</w:t>
      </w:r>
      <w:r>
        <w:rPr>
          <w:rFonts w:ascii="Arial" w:hAnsi="Arial"/>
          <w:b/>
          <w:bCs/>
          <w:i/>
          <w:iCs/>
          <w:lang w:val="en-US"/>
        </w:rPr>
        <w:t xml:space="preserve">-, </w:t>
      </w:r>
      <w:r>
        <w:rPr>
          <w:rFonts w:ascii="Arial" w:hAnsi="Arial"/>
          <w:b/>
          <w:bCs/>
          <w:i/>
          <w:iCs/>
        </w:rPr>
        <w:t>ж</w:t>
      </w:r>
      <w:r>
        <w:rPr>
          <w:rFonts w:ascii="Arial" w:hAnsi="Arial"/>
          <w:b/>
          <w:bCs/>
          <w:i/>
          <w:iCs/>
          <w:lang w:val="en-US"/>
        </w:rPr>
        <w:t>/</w:t>
      </w:r>
      <w:r>
        <w:rPr>
          <w:rFonts w:ascii="Arial" w:hAnsi="Arial"/>
          <w:b/>
          <w:bCs/>
          <w:i/>
          <w:iCs/>
        </w:rPr>
        <w:t>д</w:t>
      </w:r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/>
          <w:b/>
          <w:bCs/>
          <w:i/>
          <w:iCs/>
        </w:rPr>
        <w:t>накладная</w:t>
      </w:r>
      <w:r>
        <w:rPr>
          <w:rFonts w:ascii="Arial" w:hAnsi="Arial"/>
          <w:b/>
          <w:bCs/>
          <w:i/>
          <w:iCs/>
          <w:lang w:val="en-US"/>
        </w:rPr>
        <w:t xml:space="preserve">, </w:t>
      </w:r>
      <w:proofErr w:type="spellStart"/>
      <w:r>
        <w:rPr>
          <w:rFonts w:ascii="Arial" w:hAnsi="Arial"/>
          <w:b/>
          <w:bCs/>
          <w:i/>
          <w:iCs/>
        </w:rPr>
        <w:t>мультимодальный</w:t>
      </w:r>
      <w:proofErr w:type="spellEnd"/>
      <w:r>
        <w:rPr>
          <w:rFonts w:ascii="Arial" w:hAnsi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транспортный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документ</w:t>
      </w:r>
      <w:r>
        <w:rPr>
          <w:rFonts w:ascii="Arial" w:hAnsi="Arial" w:cs="Arial"/>
          <w:b/>
          <w:bCs/>
          <w:i/>
          <w:iCs/>
          <w:lang w:val="en-US"/>
        </w:rPr>
        <w:t xml:space="preserve">), </w:t>
      </w:r>
      <w:r>
        <w:rPr>
          <w:rFonts w:ascii="Arial" w:hAnsi="Arial" w:cs="Arial"/>
          <w:b/>
          <w:bCs/>
          <w:i/>
          <w:iCs/>
        </w:rPr>
        <w:t>согласованный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сторонами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по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контракту</w:t>
      </w:r>
      <w:r>
        <w:rPr>
          <w:rFonts w:ascii="Arial" w:hAnsi="Arial" w:cs="Arial"/>
          <w:bCs/>
          <w:i/>
          <w:iCs/>
          <w:lang w:val="en-US"/>
        </w:rPr>
        <w:t>;</w:t>
      </w:r>
    </w:p>
    <w:p w:rsidR="006B2EEF" w:rsidRDefault="006B2EEF">
      <w:pPr>
        <w:spacing w:before="20"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ab/>
        <w:t xml:space="preserve">B3. One original of Insurance policy </w:t>
      </w:r>
      <w:r>
        <w:rPr>
          <w:rFonts w:ascii="Arial" w:hAnsi="Arial" w:cs="Arial"/>
          <w:b/>
          <w:bCs/>
          <w:i/>
          <w:iCs/>
          <w:lang w:val="en-US"/>
        </w:rPr>
        <w:t>(</w:t>
      </w:r>
      <w:r>
        <w:rPr>
          <w:rFonts w:ascii="Arial" w:hAnsi="Arial" w:cs="Arial"/>
          <w:b/>
          <w:bCs/>
          <w:i/>
          <w:iCs/>
        </w:rPr>
        <w:t>возможно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с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указанием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деталей</w:t>
      </w:r>
      <w:r>
        <w:rPr>
          <w:rFonts w:ascii="Arial" w:hAnsi="Arial" w:cs="Arial"/>
          <w:b/>
          <w:bCs/>
          <w:i/>
          <w:iCs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</w:rPr>
        <w:t>страхования</w:t>
      </w:r>
      <w:r>
        <w:rPr>
          <w:rFonts w:ascii="Arial" w:hAnsi="Arial" w:cs="Arial"/>
          <w:b/>
          <w:bCs/>
          <w:i/>
          <w:iCs/>
          <w:lang w:val="en-US"/>
        </w:rPr>
        <w:t>)</w:t>
      </w:r>
      <w:r>
        <w:rPr>
          <w:rFonts w:ascii="Arial" w:hAnsi="Arial" w:cs="Arial"/>
          <w:i/>
          <w:iCs/>
          <w:lang w:val="en-US"/>
        </w:rPr>
        <w:t>.</w:t>
      </w:r>
    </w:p>
    <w:p w:rsidR="006B2EEF" w:rsidRDefault="006B2EEF">
      <w:pPr>
        <w:spacing w:before="20"/>
        <w:ind w:left="708"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bCs/>
          <w:i/>
          <w:iCs/>
          <w:lang w:val="en-US"/>
        </w:rPr>
        <w:t>B</w:t>
      </w:r>
      <w:r>
        <w:rPr>
          <w:rFonts w:ascii="Arial" w:hAnsi="Arial" w:cs="Arial"/>
          <w:bCs/>
          <w:i/>
          <w:iCs/>
          <w:lang w:val="en-GB"/>
        </w:rPr>
        <w:t>4</w:t>
      </w:r>
      <w:r>
        <w:rPr>
          <w:rFonts w:ascii="Arial" w:hAnsi="Arial" w:cs="Arial"/>
          <w:bCs/>
          <w:i/>
          <w:iCs/>
          <w:lang w:val="en-US"/>
        </w:rPr>
        <w:t xml:space="preserve">. One original of </w:t>
      </w:r>
      <w:r>
        <w:rPr>
          <w:rFonts w:ascii="Arial" w:hAnsi="Arial" w:cs="Arial"/>
          <w:i/>
          <w:iCs/>
          <w:lang w:val="en-GB"/>
        </w:rPr>
        <w:t xml:space="preserve">Packing List </w:t>
      </w:r>
      <w:r>
        <w:rPr>
          <w:rFonts w:ascii="Arial" w:hAnsi="Arial" w:cs="Arial"/>
          <w:b/>
          <w:bCs/>
          <w:i/>
          <w:iCs/>
        </w:rPr>
        <w:t>и</w:t>
      </w:r>
      <w:r>
        <w:rPr>
          <w:rFonts w:ascii="Arial" w:hAnsi="Arial" w:cs="Arial"/>
          <w:b/>
          <w:bCs/>
          <w:i/>
          <w:iCs/>
          <w:lang w:val="en-GB"/>
        </w:rPr>
        <w:t>/</w:t>
      </w:r>
      <w:r>
        <w:rPr>
          <w:rFonts w:ascii="Arial" w:hAnsi="Arial" w:cs="Arial"/>
          <w:b/>
          <w:bCs/>
          <w:i/>
          <w:iCs/>
        </w:rPr>
        <w:t>или</w:t>
      </w:r>
      <w:r>
        <w:rPr>
          <w:rFonts w:ascii="Arial" w:hAnsi="Arial" w:cs="Arial"/>
          <w:i/>
          <w:iCs/>
          <w:lang w:val="en-GB"/>
        </w:rPr>
        <w:t xml:space="preserve"> </w:t>
      </w:r>
      <w:proofErr w:type="gramStart"/>
      <w:r>
        <w:rPr>
          <w:rFonts w:ascii="Arial" w:hAnsi="Arial" w:cs="Arial"/>
          <w:bCs/>
          <w:i/>
          <w:iCs/>
          <w:lang w:val="en-US"/>
        </w:rPr>
        <w:t>One</w:t>
      </w:r>
      <w:proofErr w:type="gramEnd"/>
      <w:r>
        <w:rPr>
          <w:rFonts w:ascii="Arial" w:hAnsi="Arial" w:cs="Arial"/>
          <w:bCs/>
          <w:i/>
          <w:iCs/>
          <w:lang w:val="en-US"/>
        </w:rPr>
        <w:t xml:space="preserve"> original of </w:t>
      </w:r>
      <w:r>
        <w:rPr>
          <w:rFonts w:ascii="Arial" w:hAnsi="Arial" w:cs="Arial"/>
          <w:i/>
          <w:iCs/>
          <w:lang w:val="en-GB"/>
        </w:rPr>
        <w:t>Certificate of Quality issued by… (</w:t>
      </w:r>
      <w:proofErr w:type="gramStart"/>
      <w:r>
        <w:rPr>
          <w:rFonts w:ascii="Arial" w:hAnsi="Arial" w:cs="Arial"/>
          <w:i/>
          <w:iCs/>
        </w:rPr>
        <w:t>например</w:t>
      </w:r>
      <w:proofErr w:type="gramEnd"/>
      <w:r>
        <w:rPr>
          <w:rFonts w:ascii="Arial" w:hAnsi="Arial" w:cs="Arial"/>
          <w:i/>
          <w:iCs/>
          <w:lang w:val="en-GB"/>
        </w:rPr>
        <w:t xml:space="preserve">, manufacturer) </w:t>
      </w:r>
      <w:r>
        <w:rPr>
          <w:rFonts w:ascii="Arial" w:hAnsi="Arial" w:cs="Arial"/>
          <w:b/>
          <w:bCs/>
          <w:i/>
          <w:iCs/>
        </w:rPr>
        <w:t>и</w:t>
      </w:r>
      <w:r>
        <w:rPr>
          <w:rFonts w:ascii="Arial" w:hAnsi="Arial" w:cs="Arial"/>
          <w:b/>
          <w:bCs/>
          <w:i/>
          <w:iCs/>
          <w:lang w:val="en-GB"/>
        </w:rPr>
        <w:t>/</w:t>
      </w:r>
      <w:r>
        <w:rPr>
          <w:rFonts w:ascii="Arial" w:hAnsi="Arial" w:cs="Arial"/>
          <w:b/>
          <w:bCs/>
          <w:i/>
          <w:iCs/>
        </w:rPr>
        <w:t>или</w:t>
      </w:r>
      <w:r>
        <w:rPr>
          <w:rFonts w:ascii="Arial" w:hAnsi="Arial" w:cs="Arial"/>
          <w:i/>
          <w:iCs/>
          <w:lang w:val="en-GB"/>
        </w:rPr>
        <w:t xml:space="preserve"> </w:t>
      </w:r>
      <w:r>
        <w:rPr>
          <w:rFonts w:ascii="Arial" w:hAnsi="Arial" w:cs="Arial"/>
          <w:bCs/>
          <w:i/>
          <w:iCs/>
          <w:lang w:val="en-US"/>
        </w:rPr>
        <w:t xml:space="preserve">One original of </w:t>
      </w:r>
      <w:r>
        <w:rPr>
          <w:rFonts w:ascii="Arial" w:hAnsi="Arial" w:cs="Arial"/>
          <w:i/>
          <w:iCs/>
          <w:lang w:val="en-GB"/>
        </w:rPr>
        <w:t xml:space="preserve">Certificate of origin </w:t>
      </w:r>
      <w:r>
        <w:rPr>
          <w:rFonts w:ascii="Arial" w:hAnsi="Arial" w:cs="Arial"/>
          <w:b/>
          <w:bCs/>
          <w:i/>
          <w:iCs/>
        </w:rPr>
        <w:t>и</w:t>
      </w:r>
      <w:r>
        <w:rPr>
          <w:rFonts w:ascii="Arial" w:hAnsi="Arial" w:cs="Arial"/>
          <w:b/>
          <w:bCs/>
          <w:i/>
          <w:iCs/>
          <w:lang w:val="en-GB"/>
        </w:rPr>
        <w:t>/</w:t>
      </w:r>
      <w:r>
        <w:rPr>
          <w:rFonts w:ascii="Arial" w:hAnsi="Arial" w:cs="Arial"/>
          <w:b/>
          <w:bCs/>
          <w:i/>
          <w:iCs/>
        </w:rPr>
        <w:t>или</w:t>
      </w:r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</w:rPr>
        <w:t>иные</w:t>
      </w:r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</w:rPr>
        <w:t>необходимые</w:t>
      </w:r>
      <w:r>
        <w:rPr>
          <w:rFonts w:ascii="Arial" w:hAnsi="Arial" w:cs="Arial"/>
          <w:b/>
          <w:bCs/>
          <w:i/>
          <w:iCs/>
          <w:lang w:val="en-GB"/>
        </w:rPr>
        <w:t xml:space="preserve"> </w:t>
      </w:r>
      <w:r>
        <w:rPr>
          <w:rFonts w:ascii="Arial" w:hAnsi="Arial" w:cs="Arial"/>
          <w:b/>
          <w:bCs/>
          <w:i/>
          <w:iCs/>
        </w:rPr>
        <w:t>документы</w:t>
      </w:r>
      <w:r>
        <w:rPr>
          <w:rFonts w:ascii="Arial" w:hAnsi="Arial" w:cs="Arial"/>
          <w:i/>
          <w:iCs/>
          <w:lang w:val="en-GB"/>
        </w:rPr>
        <w:t>.</w:t>
      </w:r>
    </w:p>
    <w:p w:rsidR="006B2EEF" w:rsidRDefault="006B2EEF">
      <w:pPr>
        <w:ind w:left="284"/>
        <w:jc w:val="both"/>
        <w:rPr>
          <w:rFonts w:ascii="Arial" w:hAnsi="Arial" w:cs="Arial"/>
          <w:bCs/>
          <w:i/>
          <w:iCs/>
          <w:lang w:val="en-GB"/>
        </w:rPr>
      </w:pPr>
    </w:p>
    <w:p w:rsidR="006B2EEF" w:rsidRDefault="006B2EEF">
      <w:pPr>
        <w:pStyle w:val="ab"/>
        <w:ind w:right="0"/>
      </w:pPr>
      <w:r>
        <w:t xml:space="preserve">C. The amount of USD 10,000.00 </w:t>
      </w:r>
      <w:r>
        <w:rPr>
          <w:bCs w:val="0"/>
        </w:rPr>
        <w:t xml:space="preserve">(being 10% of the contract value) </w:t>
      </w:r>
      <w:r>
        <w:t>shall be paid provided presentation of the following documents:</w:t>
      </w:r>
    </w:p>
    <w:p w:rsidR="006B2EEF" w:rsidRDefault="006B2EEF">
      <w:pPr>
        <w:pStyle w:val="a5"/>
        <w:ind w:left="0"/>
        <w:rPr>
          <w:rFonts w:ascii="Arial" w:hAnsi="Arial" w:cs="Arial"/>
          <w:bCs/>
          <w:i/>
          <w:iCs/>
          <w:sz w:val="20"/>
          <w:lang w:val="en-GB"/>
        </w:rPr>
      </w:pPr>
      <w:r>
        <w:rPr>
          <w:rFonts w:ascii="Arial" w:hAnsi="Arial" w:cs="Arial"/>
          <w:bCs/>
          <w:i/>
          <w:iCs/>
          <w:sz w:val="20"/>
          <w:lang w:val="en-US"/>
        </w:rPr>
        <w:tab/>
      </w:r>
      <w:r>
        <w:rPr>
          <w:rFonts w:ascii="Arial" w:hAnsi="Arial" w:cs="Arial"/>
          <w:bCs/>
          <w:i/>
          <w:iCs/>
          <w:sz w:val="20"/>
          <w:lang w:val="en-GB"/>
        </w:rPr>
        <w:t xml:space="preserve">C1. </w:t>
      </w:r>
      <w:proofErr w:type="gramStart"/>
      <w:r>
        <w:rPr>
          <w:rFonts w:ascii="Arial" w:hAnsi="Arial" w:cs="Arial"/>
          <w:bCs/>
          <w:i/>
          <w:iCs/>
          <w:sz w:val="20"/>
          <w:lang w:val="en-US"/>
        </w:rPr>
        <w:t xml:space="preserve">One original and 2 copies of </w:t>
      </w:r>
      <w:r>
        <w:rPr>
          <w:rFonts w:ascii="Arial" w:hAnsi="Arial" w:cs="Arial"/>
          <w:bCs/>
          <w:i/>
          <w:iCs/>
          <w:sz w:val="20"/>
          <w:lang w:val="en-GB"/>
        </w:rPr>
        <w:t>Commercial Invoice for USD 10,000.00.</w:t>
      </w:r>
      <w:proofErr w:type="gramEnd"/>
    </w:p>
    <w:p w:rsidR="006B2EEF" w:rsidRDefault="006B2EEF">
      <w:pPr>
        <w:pStyle w:val="a5"/>
        <w:ind w:left="708" w:firstLine="0"/>
        <w:rPr>
          <w:rFonts w:ascii="Arial" w:hAnsi="Arial" w:cs="Arial"/>
          <w:i/>
          <w:iCs/>
          <w:sz w:val="20"/>
          <w:lang w:val="en-GB"/>
        </w:rPr>
      </w:pPr>
      <w:r>
        <w:rPr>
          <w:rFonts w:ascii="Arial" w:hAnsi="Arial" w:cs="Arial"/>
          <w:i/>
          <w:iCs/>
          <w:sz w:val="20"/>
          <w:lang w:val="en-GB"/>
        </w:rPr>
        <w:t xml:space="preserve">C2. One original of Protocol of completion of the commissioning of the equipment signed by the representatives of both the Applicant and the Beneficiary. </w:t>
      </w:r>
      <w:r>
        <w:rPr>
          <w:rFonts w:ascii="Arial" w:hAnsi="Arial"/>
          <w:b/>
          <w:bCs/>
          <w:i/>
          <w:iCs/>
          <w:sz w:val="20"/>
        </w:rPr>
        <w:t>или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/>
          <w:b/>
          <w:bCs/>
          <w:i/>
          <w:iCs/>
          <w:sz w:val="20"/>
        </w:rPr>
        <w:t>иной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/>
          <w:b/>
          <w:bCs/>
          <w:i/>
          <w:iCs/>
          <w:sz w:val="20"/>
        </w:rPr>
        <w:t>документ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, </w:t>
      </w:r>
      <w:r>
        <w:rPr>
          <w:rFonts w:ascii="Arial" w:hAnsi="Arial"/>
          <w:b/>
          <w:bCs/>
          <w:i/>
          <w:iCs/>
          <w:sz w:val="20"/>
        </w:rPr>
        <w:t>согласованный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/>
          <w:b/>
          <w:bCs/>
          <w:i/>
          <w:iCs/>
          <w:sz w:val="20"/>
        </w:rPr>
        <w:t>сторонами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/>
          <w:b/>
          <w:bCs/>
          <w:i/>
          <w:iCs/>
          <w:sz w:val="20"/>
        </w:rPr>
        <w:t>по</w:t>
      </w:r>
      <w:r>
        <w:rPr>
          <w:rFonts w:ascii="Arial" w:hAnsi="Arial"/>
          <w:b/>
          <w:bCs/>
          <w:i/>
          <w:iCs/>
          <w:sz w:val="20"/>
          <w:lang w:val="en-US"/>
        </w:rPr>
        <w:t xml:space="preserve"> </w:t>
      </w:r>
      <w:r>
        <w:rPr>
          <w:rFonts w:ascii="Arial" w:hAnsi="Arial"/>
          <w:b/>
          <w:bCs/>
          <w:i/>
          <w:iCs/>
          <w:sz w:val="20"/>
        </w:rPr>
        <w:t>контракту</w:t>
      </w:r>
      <w:r>
        <w:rPr>
          <w:rFonts w:ascii="Arial" w:hAnsi="Arial"/>
          <w:i/>
          <w:iCs/>
          <w:sz w:val="20"/>
          <w:lang w:val="en-GB"/>
        </w:rPr>
        <w:t>».</w:t>
      </w:r>
    </w:p>
    <w:p w:rsidR="006B2EEF" w:rsidRDefault="006B2EEF">
      <w:pPr>
        <w:jc w:val="center"/>
        <w:outlineLvl w:val="0"/>
        <w:rPr>
          <w:rFonts w:ascii="Arial" w:hAnsi="Arial" w:cs="Arial"/>
          <w:lang w:val="en-US"/>
        </w:rPr>
      </w:pP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отношении всех документов (кроме счетов-фактур, транспортных и страховых документов) в аккредитиве должны быть определены их точный текст или основные требования к их содержанию, а также к тому, кем они могут быть выписаны. Если такого описания нет, то документы будут приняты банком в том виде, в каком их представит бенефициар.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Условия аккредитивов, открываемых для расчетов за товар, поставляемый на условиях </w:t>
      </w:r>
      <w:r>
        <w:rPr>
          <w:rFonts w:ascii="Arial" w:hAnsi="Arial" w:cs="Arial"/>
          <w:sz w:val="22"/>
          <w:lang w:val="en-US"/>
        </w:rPr>
        <w:t>CIP</w:t>
      </w:r>
      <w:r>
        <w:rPr>
          <w:rFonts w:ascii="Arial" w:hAnsi="Arial" w:cs="Arial"/>
          <w:sz w:val="22"/>
        </w:rPr>
        <w:t xml:space="preserve"> или </w:t>
      </w:r>
      <w:r>
        <w:rPr>
          <w:rFonts w:ascii="Arial" w:hAnsi="Arial" w:cs="Arial"/>
          <w:sz w:val="22"/>
          <w:lang w:val="en-US"/>
        </w:rPr>
        <w:t>CIF</w:t>
      </w:r>
      <w:r>
        <w:rPr>
          <w:rFonts w:ascii="Arial" w:hAnsi="Arial" w:cs="Arial"/>
          <w:sz w:val="22"/>
        </w:rPr>
        <w:t xml:space="preserve">, должны предусматривать представление страховых документов. Если страховой документ не требуется, приказодатель должен соответственно информировать об этом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в заявлении на аккредитив.</w:t>
      </w:r>
    </w:p>
    <w:p w:rsidR="006B2EEF" w:rsidRDefault="006B2EEF">
      <w:pPr>
        <w:widowControl w:val="0"/>
        <w:spacing w:after="120"/>
        <w:ind w:left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Если аккредитивом предусмотрено представление неполного комплекта </w:t>
      </w:r>
      <w:r>
        <w:rPr>
          <w:rFonts w:ascii="Arial" w:hAnsi="Arial" w:cs="Arial"/>
          <w:sz w:val="22"/>
        </w:rPr>
        <w:lastRenderedPageBreak/>
        <w:t xml:space="preserve">оригиналов коносамента или </w:t>
      </w:r>
      <w:proofErr w:type="spellStart"/>
      <w:r>
        <w:rPr>
          <w:rFonts w:ascii="Arial" w:hAnsi="Arial" w:cs="Arial"/>
          <w:sz w:val="22"/>
        </w:rPr>
        <w:t>мультимодального</w:t>
      </w:r>
      <w:proofErr w:type="spellEnd"/>
      <w:r>
        <w:rPr>
          <w:rFonts w:ascii="Arial" w:hAnsi="Arial" w:cs="Arial"/>
          <w:sz w:val="22"/>
        </w:rPr>
        <w:t xml:space="preserve"> транспортного документа, являющихся товарораспорядительными документами, приказодатель информирует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о том, кому передаются остальные оригиналы. </w:t>
      </w:r>
    </w:p>
    <w:p w:rsidR="006B2EEF" w:rsidRDefault="006B2EEF">
      <w:pPr>
        <w:pStyle w:val="30"/>
        <w:widowControl w:val="0"/>
        <w:spacing w:after="120"/>
        <w:rPr>
          <w:rFonts w:cs="Arial"/>
        </w:rPr>
      </w:pPr>
      <w:r>
        <w:rPr>
          <w:rFonts w:cs="Arial"/>
        </w:rPr>
        <w:t xml:space="preserve">В случае если условиями заключенного между сторонами по коммерческой сделке контракта предусмотрено оформление документов на русском языке, описание товара и перечень документов могут быть указаны клером с использованием букв латинского алфавита. Наиболее используется в расчетах со странами СНГ. В отношении же аккредитивов, выставляемых с исполнением в иных странах, во избежание отказа </w:t>
      </w:r>
      <w:proofErr w:type="spellStart"/>
      <w:r>
        <w:rPr>
          <w:rFonts w:cs="Arial"/>
        </w:rPr>
        <w:t>инобанка</w:t>
      </w:r>
      <w:proofErr w:type="spellEnd"/>
      <w:r>
        <w:rPr>
          <w:rFonts w:cs="Arial"/>
        </w:rPr>
        <w:t xml:space="preserve"> от исполнения аккредитива и исключения проблем в расчетах, рекомендуется, чтобы возможность принятия документов на русском языке была предварительно согласована экспортером с исполняющим банком.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Если необходимо, </w:t>
      </w:r>
      <w:r>
        <w:rPr>
          <w:rFonts w:ascii="Arial" w:hAnsi="Arial" w:cs="Arial"/>
          <w:b/>
          <w:sz w:val="22"/>
        </w:rPr>
        <w:t>процентное отношение суммы аккредитива к сумме контракта</w:t>
      </w:r>
      <w:r>
        <w:rPr>
          <w:rFonts w:ascii="Arial" w:hAnsi="Arial" w:cs="Arial"/>
          <w:sz w:val="22"/>
        </w:rPr>
        <w:t>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Если необходимо, </w:t>
      </w:r>
      <w:r>
        <w:rPr>
          <w:rFonts w:ascii="Arial" w:hAnsi="Arial" w:cs="Arial"/>
          <w:b/>
          <w:sz w:val="22"/>
        </w:rPr>
        <w:t>специальный срок для представления документов в исполняющий банк</w:t>
      </w:r>
      <w:r>
        <w:rPr>
          <w:rFonts w:ascii="Arial" w:hAnsi="Arial" w:cs="Arial"/>
          <w:sz w:val="22"/>
        </w:rPr>
        <w:t>.</w:t>
      </w: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В дополнение к указанию даты истечения срока действия (т.е. срока для представления документов) аккредитив может также указывать специальный период времени (с даты отгрузки или с даты выписки какого-либо документа и т.п.), в течение которого должно быть сделано представление документов в соответствии с условиями аккредитива. Если такой период времени не предусмотрен, то по аккредитивам, требующим представление транспортного документа(</w:t>
      </w:r>
      <w:proofErr w:type="spellStart"/>
      <w:r>
        <w:rPr>
          <w:rFonts w:ascii="Arial" w:hAnsi="Arial" w:cs="Arial"/>
          <w:sz w:val="22"/>
        </w:rPr>
        <w:t>ов</w:t>
      </w:r>
      <w:proofErr w:type="spellEnd"/>
      <w:r>
        <w:rPr>
          <w:rFonts w:ascii="Arial" w:hAnsi="Arial" w:cs="Arial"/>
          <w:sz w:val="22"/>
        </w:rPr>
        <w:t xml:space="preserve">), банки не будут принимать документы, представленные им позже чем через 21 день после даты отгрузки. </w:t>
      </w:r>
    </w:p>
    <w:p w:rsidR="006B2EEF" w:rsidRDefault="006B2EEF">
      <w:pPr>
        <w:pStyle w:val="a5"/>
        <w:widowControl w:val="0"/>
        <w:spacing w:after="120"/>
        <w:ind w:left="357" w:firstLine="0"/>
        <w:rPr>
          <w:rFonts w:ascii="Arial" w:hAnsi="Arial" w:cs="Arial"/>
          <w:i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Счет приказодателя в </w:t>
      </w:r>
      <w:r w:rsidR="00046681">
        <w:rPr>
          <w:rFonts w:ascii="Arial" w:hAnsi="Arial" w:cs="Arial"/>
          <w:b/>
          <w:sz w:val="22"/>
        </w:rPr>
        <w:t>НКО</w:t>
      </w:r>
      <w:r>
        <w:rPr>
          <w:rFonts w:ascii="Arial" w:hAnsi="Arial" w:cs="Arial"/>
          <w:b/>
          <w:sz w:val="22"/>
        </w:rPr>
        <w:t xml:space="preserve"> и полномочия на списание суммы покрытия под аккредитив.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За чей счет оплачиваются комиссии и расходы </w:t>
      </w:r>
      <w:r w:rsidR="00DD7033">
        <w:rPr>
          <w:rFonts w:ascii="Arial" w:hAnsi="Arial" w:cs="Arial"/>
          <w:b/>
          <w:sz w:val="22"/>
        </w:rPr>
        <w:t>НКО</w:t>
      </w:r>
      <w:r>
        <w:rPr>
          <w:rFonts w:ascii="Arial" w:hAnsi="Arial" w:cs="Arial"/>
          <w:b/>
          <w:sz w:val="22"/>
        </w:rPr>
        <w:t xml:space="preserve"> и </w:t>
      </w:r>
      <w:proofErr w:type="spellStart"/>
      <w:r>
        <w:rPr>
          <w:rFonts w:ascii="Arial" w:hAnsi="Arial" w:cs="Arial"/>
          <w:b/>
          <w:sz w:val="22"/>
        </w:rPr>
        <w:t>инобанка</w:t>
      </w:r>
      <w:proofErr w:type="spellEnd"/>
      <w:r>
        <w:rPr>
          <w:rFonts w:ascii="Arial" w:hAnsi="Arial" w:cs="Arial"/>
          <w:b/>
          <w:sz w:val="22"/>
        </w:rPr>
        <w:t>, а также комиссия за подтверждение</w:t>
      </w:r>
      <w:r>
        <w:rPr>
          <w:rFonts w:ascii="Arial" w:hAnsi="Arial" w:cs="Arial"/>
          <w:sz w:val="22"/>
        </w:rPr>
        <w:t xml:space="preserve"> (если оно добавлено) с указанием номера счета в </w:t>
      </w:r>
      <w:r w:rsidR="00DD7033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>, с которого должны быть списаны комиссии, отнесенные на приказодателя.</w:t>
      </w:r>
    </w:p>
    <w:p w:rsidR="006B2EEF" w:rsidRDefault="006B2EEF">
      <w:pPr>
        <w:widowControl w:val="0"/>
        <w:spacing w:after="120"/>
        <w:jc w:val="both"/>
        <w:rPr>
          <w:rFonts w:ascii="Arial" w:hAnsi="Arial" w:cs="Arial"/>
          <w:sz w:val="22"/>
        </w:rPr>
      </w:pPr>
    </w:p>
    <w:p w:rsidR="006B2EEF" w:rsidRPr="0003378C" w:rsidRDefault="006B2EEF">
      <w:pPr>
        <w:widowControl w:val="0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</w:rPr>
      </w:pPr>
      <w:r w:rsidRPr="0003378C">
        <w:rPr>
          <w:rFonts w:ascii="Arial" w:hAnsi="Arial" w:cs="Arial"/>
          <w:b/>
          <w:sz w:val="22"/>
        </w:rPr>
        <w:t>Подчинение аккредитива «Унифицированным правилам и обычаям для документарных аккредитивов»</w:t>
      </w:r>
      <w:r w:rsidRPr="0003378C">
        <w:rPr>
          <w:rFonts w:ascii="Arial" w:hAnsi="Arial" w:cs="Arial"/>
          <w:sz w:val="22"/>
        </w:rPr>
        <w:t xml:space="preserve"> с указанием номера публикации Международной Торговой Палаты (с 01.07.2007 г. действует публикация МТП №600, редакция 2007 г.). 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В аккредитив не должны включаться </w:t>
      </w:r>
      <w:proofErr w:type="spellStart"/>
      <w:r>
        <w:rPr>
          <w:rFonts w:ascii="Arial" w:hAnsi="Arial" w:cs="Arial"/>
          <w:sz w:val="22"/>
        </w:rPr>
        <w:t>недокументарные</w:t>
      </w:r>
      <w:proofErr w:type="spellEnd"/>
      <w:r>
        <w:rPr>
          <w:rFonts w:ascii="Arial" w:hAnsi="Arial" w:cs="Arial"/>
          <w:sz w:val="22"/>
        </w:rPr>
        <w:t xml:space="preserve"> условия, т.е. условия, выполнение которых не может быть проверено на основании документов, требуемых к представлению по аккредитиву. В инструкциях по открытию аккредитива должны использоваться стандартные термины и формулировки, соответствующие «Унифицированным правилам и обычаям для документарных аккредитивов», а также официальными </w:t>
      </w:r>
      <w:r w:rsidRPr="00EC5B9F">
        <w:rPr>
          <w:rFonts w:ascii="Arial" w:hAnsi="Arial" w:cs="Arial"/>
          <w:sz w:val="22"/>
        </w:rPr>
        <w:t xml:space="preserve">правилами Международной Торговой Палаты для толкования </w:t>
      </w:r>
      <w:r w:rsidR="00EC5B9F" w:rsidRPr="00EC5B9F">
        <w:rPr>
          <w:rFonts w:ascii="Arial" w:hAnsi="Arial" w:cs="Arial"/>
          <w:sz w:val="22"/>
        </w:rPr>
        <w:t>торговых терминов «</w:t>
      </w:r>
      <w:proofErr w:type="spellStart"/>
      <w:r w:rsidR="00EC5B9F" w:rsidRPr="00EC5B9F">
        <w:rPr>
          <w:rFonts w:ascii="Arial" w:hAnsi="Arial" w:cs="Arial"/>
          <w:sz w:val="22"/>
        </w:rPr>
        <w:t>Инкотермс</w:t>
      </w:r>
      <w:proofErr w:type="spellEnd"/>
      <w:r w:rsidR="00EC5B9F" w:rsidRPr="00EC5B9F">
        <w:rPr>
          <w:rFonts w:ascii="Arial" w:hAnsi="Arial" w:cs="Arial"/>
          <w:sz w:val="22"/>
        </w:rPr>
        <w:t xml:space="preserve"> 202</w:t>
      </w:r>
      <w:r w:rsidRPr="00EC5B9F">
        <w:rPr>
          <w:rFonts w:ascii="Arial" w:hAnsi="Arial" w:cs="Arial"/>
          <w:sz w:val="22"/>
        </w:rPr>
        <w:t>0».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Любое исправление на заявлении на аккредитив должно быть заверено печатью и подписями уполномоченных лиц клиента в соответствии с карточкой образцов подписей и оттиска печати, хранящейся в </w:t>
      </w:r>
      <w:r w:rsidR="00046681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>. Исправления в сумме и/или валюте аккредитива не допускаются. Не принимаются заявления на аккредитив, имеющие исправления корректирующей жидкостью.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pStyle w:val="21"/>
        <w:widowControl w:val="0"/>
      </w:pPr>
      <w:r>
        <w:t xml:space="preserve">Изменение условий аккредитива производится на основании письменного обращения приказодателя, составленного в виде письма на бланке организации-приказодателя и заверенного подписями уполномоченных лиц и печатью в соответствии с образцами, имеющимися в </w:t>
      </w:r>
      <w:r w:rsidR="00DD7033">
        <w:t>НКО</w:t>
      </w:r>
      <w:r>
        <w:t xml:space="preserve">. В обращении должен быть указан номер аккредитива и четко перечислены все вносимые изменения. В случае внесения изменений, касающихся суммы и срока действия аккредитива, изменения </w:t>
      </w:r>
      <w:r w:rsidR="00CC5FC0">
        <w:t>гр</w:t>
      </w:r>
      <w:r>
        <w:t xml:space="preserve">афика платежей по аккредитиву, на указанном письме требуется разрешительная виза ответственного исполнителя </w:t>
      </w:r>
      <w:r w:rsidR="00DD7033">
        <w:t>НКО</w:t>
      </w:r>
      <w:r>
        <w:t xml:space="preserve"> по валютному контролю.</w:t>
      </w:r>
    </w:p>
    <w:p w:rsidR="006B2EEF" w:rsidRDefault="006B2EEF">
      <w:pPr>
        <w:widowControl w:val="0"/>
        <w:jc w:val="center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*****</w:t>
      </w:r>
    </w:p>
    <w:p w:rsidR="006B2EEF" w:rsidRDefault="006B2EEF">
      <w:pPr>
        <w:widowControl w:val="0"/>
        <w:ind w:firstLine="851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При выполнении операций по аккредитивам </w:t>
      </w:r>
      <w:r w:rsidR="00DD7033">
        <w:rPr>
          <w:rFonts w:ascii="Arial" w:hAnsi="Arial" w:cs="Arial"/>
          <w:sz w:val="22"/>
        </w:rPr>
        <w:t>НКО</w:t>
      </w:r>
      <w:r>
        <w:rPr>
          <w:rFonts w:ascii="Arial" w:hAnsi="Arial" w:cs="Arial"/>
          <w:sz w:val="22"/>
        </w:rPr>
        <w:t xml:space="preserve"> взимает вознагражде</w:t>
      </w:r>
      <w:r w:rsidR="00CC5FC0">
        <w:rPr>
          <w:rFonts w:ascii="Arial" w:hAnsi="Arial" w:cs="Arial"/>
          <w:sz w:val="22"/>
        </w:rPr>
        <w:t>ние в соответствии с действующими</w:t>
      </w:r>
      <w:r>
        <w:rPr>
          <w:rFonts w:ascii="Arial" w:hAnsi="Arial" w:cs="Arial"/>
          <w:sz w:val="22"/>
        </w:rPr>
        <w:t xml:space="preserve"> Тарифа</w:t>
      </w:r>
      <w:r w:rsidR="00CC5FC0">
        <w:rPr>
          <w:rFonts w:ascii="Arial" w:hAnsi="Arial" w:cs="Arial"/>
          <w:sz w:val="22"/>
        </w:rPr>
        <w:t xml:space="preserve">ми </w:t>
      </w:r>
      <w:r>
        <w:rPr>
          <w:rFonts w:ascii="Arial" w:hAnsi="Arial" w:cs="Arial"/>
          <w:sz w:val="22"/>
        </w:rPr>
        <w:t>за оказание услуг юридическим лицам (кроме банков)</w:t>
      </w:r>
      <w:r w:rsidR="00CC5FC0">
        <w:rPr>
          <w:rFonts w:ascii="Arial" w:hAnsi="Arial" w:cs="Arial"/>
          <w:sz w:val="22"/>
        </w:rPr>
        <w:t>.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*****</w:t>
      </w: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</w:p>
    <w:p w:rsidR="006B2EEF" w:rsidRDefault="006B2EEF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Консультации по международным расчетам в форме документарного аккредитива можно получить в </w:t>
      </w:r>
      <w:r w:rsidR="00CF09F6">
        <w:rPr>
          <w:rFonts w:ascii="Arial" w:hAnsi="Arial" w:cs="Arial"/>
          <w:sz w:val="22"/>
        </w:rPr>
        <w:t xml:space="preserve">Валютном </w:t>
      </w:r>
      <w:r>
        <w:rPr>
          <w:rFonts w:ascii="Arial" w:hAnsi="Arial" w:cs="Arial"/>
          <w:sz w:val="22"/>
        </w:rPr>
        <w:t>отделе</w:t>
      </w:r>
      <w:r w:rsidR="00CF09F6">
        <w:rPr>
          <w:rFonts w:ascii="Arial" w:hAnsi="Arial" w:cs="Arial"/>
          <w:sz w:val="22"/>
        </w:rPr>
        <w:t xml:space="preserve"> </w:t>
      </w:r>
      <w:r w:rsidR="00DD7033">
        <w:rPr>
          <w:rFonts w:ascii="Arial" w:hAnsi="Arial" w:cs="Arial"/>
          <w:sz w:val="22"/>
        </w:rPr>
        <w:t>НКО</w:t>
      </w:r>
      <w:r w:rsidR="00CF09F6">
        <w:rPr>
          <w:rFonts w:ascii="Arial" w:hAnsi="Arial" w:cs="Arial"/>
          <w:sz w:val="22"/>
        </w:rPr>
        <w:t xml:space="preserve"> «Альтернатива» (ООО) </w:t>
      </w:r>
      <w:r>
        <w:rPr>
          <w:rFonts w:ascii="Arial" w:hAnsi="Arial" w:cs="Arial"/>
          <w:sz w:val="22"/>
        </w:rPr>
        <w:t xml:space="preserve">по адресу: </w:t>
      </w:r>
      <w:r w:rsidR="00DD7033">
        <w:rPr>
          <w:rFonts w:ascii="Arial" w:hAnsi="Arial" w:cs="Arial"/>
          <w:sz w:val="22"/>
        </w:rPr>
        <w:t xml:space="preserve">ул. Малая Семеновская, </w:t>
      </w:r>
      <w:r w:rsidR="00405C7D">
        <w:rPr>
          <w:rFonts w:ascii="Arial" w:hAnsi="Arial" w:cs="Arial"/>
          <w:sz w:val="22"/>
        </w:rPr>
        <w:t>1, стр.</w:t>
      </w:r>
      <w:r w:rsidR="00DD7033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(телефон: </w:t>
      </w:r>
      <w:r w:rsidR="00911E1F">
        <w:rPr>
          <w:rFonts w:ascii="Arial" w:hAnsi="Arial" w:cs="Arial"/>
          <w:sz w:val="22"/>
        </w:rPr>
        <w:t>+7(495) 646-25-42</w:t>
      </w:r>
      <w:bookmarkStart w:id="0" w:name="_GoBack"/>
      <w:bookmarkEnd w:id="0"/>
      <w:r>
        <w:rPr>
          <w:rFonts w:ascii="Arial" w:hAnsi="Arial" w:cs="Arial"/>
          <w:sz w:val="22"/>
        </w:rPr>
        <w:t xml:space="preserve">). </w:t>
      </w:r>
    </w:p>
    <w:sectPr w:rsidR="006B2EEF" w:rsidSect="00D35E59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134" w:right="1588" w:bottom="567" w:left="1588" w:header="567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B8" w:rsidRDefault="00A904B8">
      <w:r>
        <w:separator/>
      </w:r>
    </w:p>
  </w:endnote>
  <w:endnote w:type="continuationSeparator" w:id="0">
    <w:p w:rsidR="00A904B8" w:rsidRDefault="00A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F" w:rsidRDefault="00E81DC3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2E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2EEF" w:rsidRDefault="006B2EE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F" w:rsidRDefault="006B2EEF">
    <w:pPr>
      <w:pStyle w:val="a8"/>
      <w:framePr w:wrap="around" w:vAnchor="text" w:hAnchor="margin" w:xAlign="right" w:y="1"/>
      <w:rPr>
        <w:rStyle w:val="a4"/>
        <w:rFonts w:ascii="Arial" w:hAnsi="Arial"/>
        <w:sz w:val="16"/>
      </w:rPr>
    </w:pPr>
  </w:p>
  <w:p w:rsidR="006B2EEF" w:rsidRDefault="006B2E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B8" w:rsidRDefault="00A904B8">
      <w:r>
        <w:separator/>
      </w:r>
    </w:p>
  </w:footnote>
  <w:footnote w:type="continuationSeparator" w:id="0">
    <w:p w:rsidR="00A904B8" w:rsidRDefault="00A904B8">
      <w:r>
        <w:continuationSeparator/>
      </w:r>
    </w:p>
  </w:footnote>
  <w:footnote w:id="1">
    <w:p w:rsidR="006B2EEF" w:rsidRDefault="006B2EEF">
      <w:pPr>
        <w:pStyle w:val="a9"/>
        <w:jc w:val="both"/>
        <w:rPr>
          <w:rFonts w:ascii="Arial" w:hAnsi="Arial"/>
          <w:sz w:val="17"/>
        </w:rPr>
      </w:pPr>
      <w:r>
        <w:rPr>
          <w:rStyle w:val="aa"/>
          <w:rFonts w:ascii="Arial" w:hAnsi="Arial"/>
          <w:sz w:val="17"/>
        </w:rPr>
        <w:footnoteRef/>
      </w:r>
      <w:r>
        <w:rPr>
          <w:rFonts w:ascii="Arial" w:hAnsi="Arial"/>
          <w:sz w:val="17"/>
        </w:rPr>
        <w:t xml:space="preserve"> </w:t>
      </w:r>
      <w:r w:rsidRPr="0003378C">
        <w:rPr>
          <w:rFonts w:ascii="Arial" w:hAnsi="Arial"/>
          <w:sz w:val="17"/>
        </w:rPr>
        <w:t>«Международная стандартная банковская практика по проверке документов по документарным аккредитивам» (</w:t>
      </w:r>
      <w:r w:rsidRPr="0003378C">
        <w:rPr>
          <w:rFonts w:ascii="Arial" w:hAnsi="Arial"/>
          <w:sz w:val="17"/>
          <w:lang w:val="en-US"/>
        </w:rPr>
        <w:t>ISBP</w:t>
      </w:r>
      <w:r w:rsidRPr="0003378C">
        <w:rPr>
          <w:rFonts w:ascii="Arial" w:hAnsi="Arial"/>
          <w:sz w:val="17"/>
        </w:rPr>
        <w:t>, Публикация МТП № 645),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F" w:rsidRDefault="00E81DC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2E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2EEF" w:rsidRDefault="006B2EE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F" w:rsidRDefault="00E81DC3">
    <w:pPr>
      <w:pStyle w:val="a3"/>
      <w:framePr w:wrap="around" w:vAnchor="text" w:hAnchor="margin" w:xAlign="right" w:y="1"/>
      <w:rPr>
        <w:rStyle w:val="a4"/>
        <w:rFonts w:ascii="Arial" w:hAnsi="Arial" w:cs="Arial"/>
        <w:sz w:val="18"/>
      </w:rPr>
    </w:pPr>
    <w:r>
      <w:rPr>
        <w:rStyle w:val="a4"/>
        <w:rFonts w:ascii="Arial" w:hAnsi="Arial" w:cs="Arial"/>
        <w:sz w:val="18"/>
      </w:rPr>
      <w:fldChar w:fldCharType="begin"/>
    </w:r>
    <w:r w:rsidR="006B2EEF">
      <w:rPr>
        <w:rStyle w:val="a4"/>
        <w:rFonts w:ascii="Arial" w:hAnsi="Arial" w:cs="Arial"/>
        <w:sz w:val="18"/>
      </w:rPr>
      <w:instrText xml:space="preserve">PAGE  </w:instrText>
    </w:r>
    <w:r>
      <w:rPr>
        <w:rStyle w:val="a4"/>
        <w:rFonts w:ascii="Arial" w:hAnsi="Arial" w:cs="Arial"/>
        <w:sz w:val="18"/>
      </w:rPr>
      <w:fldChar w:fldCharType="separate"/>
    </w:r>
    <w:r w:rsidR="00911E1F">
      <w:rPr>
        <w:rStyle w:val="a4"/>
        <w:rFonts w:ascii="Arial" w:hAnsi="Arial" w:cs="Arial"/>
        <w:noProof/>
        <w:sz w:val="18"/>
      </w:rPr>
      <w:t>7</w:t>
    </w:r>
    <w:r>
      <w:rPr>
        <w:rStyle w:val="a4"/>
        <w:rFonts w:ascii="Arial" w:hAnsi="Arial" w:cs="Arial"/>
        <w:sz w:val="18"/>
      </w:rPr>
      <w:fldChar w:fldCharType="end"/>
    </w:r>
  </w:p>
  <w:p w:rsidR="006B2EEF" w:rsidRDefault="006B2EEF" w:rsidP="00A22ABC">
    <w:pPr>
      <w:pStyle w:val="a3"/>
      <w:tabs>
        <w:tab w:val="clear" w:pos="9072"/>
        <w:tab w:val="right" w:pos="8789"/>
      </w:tabs>
      <w:ind w:right="360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0D5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F527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2979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C62FDD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5">
    <w:nsid w:val="222407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8D3A96"/>
    <w:multiLevelType w:val="singleLevel"/>
    <w:tmpl w:val="3500C410"/>
    <w:lvl w:ilvl="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C64139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8">
    <w:nsid w:val="28870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9956C5E"/>
    <w:multiLevelType w:val="singleLevel"/>
    <w:tmpl w:val="321257E2"/>
    <w:lvl w:ilvl="0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B25D2A"/>
    <w:multiLevelType w:val="singleLevel"/>
    <w:tmpl w:val="951CFE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C2F15AF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12">
    <w:nsid w:val="41FF07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BF37D5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14">
    <w:nsid w:val="5BCB55F0"/>
    <w:multiLevelType w:val="singleLevel"/>
    <w:tmpl w:val="3500C410"/>
    <w:lvl w:ilvl="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2A066BF"/>
    <w:multiLevelType w:val="hybridMultilevel"/>
    <w:tmpl w:val="911A1608"/>
    <w:lvl w:ilvl="0" w:tplc="87C63FD2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638066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4252050"/>
    <w:multiLevelType w:val="singleLevel"/>
    <w:tmpl w:val="951CFE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8A0689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19">
    <w:nsid w:val="72805BC8"/>
    <w:multiLevelType w:val="hybridMultilevel"/>
    <w:tmpl w:val="911A1608"/>
    <w:lvl w:ilvl="0" w:tplc="5706F25E">
      <w:start w:val="2"/>
      <w:numFmt w:val="bullet"/>
      <w:lvlText w:val="-"/>
      <w:lvlJc w:val="left"/>
      <w:pPr>
        <w:tabs>
          <w:tab w:val="num" w:pos="1284"/>
        </w:tabs>
        <w:ind w:left="1281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>
    <w:nsid w:val="72C3619E"/>
    <w:multiLevelType w:val="singleLevel"/>
    <w:tmpl w:val="FFFFFFFF"/>
    <w:lvl w:ilvl="0">
      <w:start w:val="1"/>
      <w:numFmt w:val="bullet"/>
      <w:lvlText w:val=""/>
      <w:legacy w:legacy="1" w:legacySpace="0" w:legacyIndent="57"/>
      <w:lvlJc w:val="left"/>
      <w:pPr>
        <w:ind w:left="2609" w:hanging="57"/>
      </w:pPr>
      <w:rPr>
        <w:rFonts w:ascii="Symbol" w:hAnsi="Symbol" w:hint="default"/>
      </w:rPr>
    </w:lvl>
  </w:abstractNum>
  <w:abstractNum w:abstractNumId="21">
    <w:nsid w:val="753E29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88E31E2"/>
    <w:multiLevelType w:val="singleLevel"/>
    <w:tmpl w:val="FFFFFFFF"/>
    <w:lvl w:ilvl="0">
      <w:start w:val="1"/>
      <w:numFmt w:val="bullet"/>
      <w:lvlText w:val="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791A22E9"/>
    <w:multiLevelType w:val="singleLevel"/>
    <w:tmpl w:val="0714ED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9947504"/>
    <w:multiLevelType w:val="singleLevel"/>
    <w:tmpl w:val="9ECA1908"/>
    <w:lvl w:ilvl="0">
      <w:start w:val="1"/>
      <w:numFmt w:val="decimal"/>
      <w:lvlText w:val="%1."/>
      <w:lvlJc w:val="left"/>
      <w:pPr>
        <w:tabs>
          <w:tab w:val="num" w:pos="786"/>
        </w:tabs>
        <w:ind w:left="783" w:hanging="357"/>
      </w:pPr>
    </w:lvl>
  </w:abstractNum>
  <w:abstractNum w:abstractNumId="25">
    <w:nsid w:val="7BD732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CAA54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E526A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"/>
        <w:legacy w:legacy="1" w:legacySpace="0" w:legacyIndent="57"/>
        <w:lvlJc w:val="left"/>
        <w:pPr>
          <w:ind w:left="2609" w:hanging="57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25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</w:num>
  <w:num w:numId="8">
    <w:abstractNumId w:val="22"/>
  </w:num>
  <w:num w:numId="9">
    <w:abstractNumId w:val="14"/>
  </w:num>
  <w:num w:numId="10">
    <w:abstractNumId w:val="6"/>
  </w:num>
  <w:num w:numId="11">
    <w:abstractNumId w:val="13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11"/>
  </w:num>
  <w:num w:numId="17">
    <w:abstractNumId w:val="5"/>
  </w:num>
  <w:num w:numId="18">
    <w:abstractNumId w:val="27"/>
  </w:num>
  <w:num w:numId="19">
    <w:abstractNumId w:val="8"/>
  </w:num>
  <w:num w:numId="20">
    <w:abstractNumId w:val="3"/>
  </w:num>
  <w:num w:numId="21">
    <w:abstractNumId w:val="1"/>
  </w:num>
  <w:num w:numId="22">
    <w:abstractNumId w:val="21"/>
  </w:num>
  <w:num w:numId="23">
    <w:abstractNumId w:val="12"/>
  </w:num>
  <w:num w:numId="24">
    <w:abstractNumId w:val="26"/>
  </w:num>
  <w:num w:numId="25">
    <w:abstractNumId w:val="2"/>
  </w:num>
  <w:num w:numId="26">
    <w:abstractNumId w:val="16"/>
  </w:num>
  <w:num w:numId="27">
    <w:abstractNumId w:val="23"/>
  </w:num>
  <w:num w:numId="28">
    <w:abstractNumId w:val="10"/>
  </w:num>
  <w:num w:numId="29">
    <w:abstractNumId w:val="17"/>
  </w:num>
  <w:num w:numId="30">
    <w:abstractNumId w:val="24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0C"/>
    <w:rsid w:val="0003378C"/>
    <w:rsid w:val="00046681"/>
    <w:rsid w:val="001508BB"/>
    <w:rsid w:val="001D6083"/>
    <w:rsid w:val="0020521E"/>
    <w:rsid w:val="002E7FA6"/>
    <w:rsid w:val="003C3B2C"/>
    <w:rsid w:val="00405C7D"/>
    <w:rsid w:val="0048267A"/>
    <w:rsid w:val="00681E7A"/>
    <w:rsid w:val="00696E77"/>
    <w:rsid w:val="006B2EEF"/>
    <w:rsid w:val="007E10A5"/>
    <w:rsid w:val="008D19C1"/>
    <w:rsid w:val="00911E1F"/>
    <w:rsid w:val="00A22ABC"/>
    <w:rsid w:val="00A904B8"/>
    <w:rsid w:val="00C72F04"/>
    <w:rsid w:val="00C87D5B"/>
    <w:rsid w:val="00CC5FC0"/>
    <w:rsid w:val="00CD3A34"/>
    <w:rsid w:val="00CF09F6"/>
    <w:rsid w:val="00D35E59"/>
    <w:rsid w:val="00D364E2"/>
    <w:rsid w:val="00D42D7A"/>
    <w:rsid w:val="00DD5F72"/>
    <w:rsid w:val="00DD7033"/>
    <w:rsid w:val="00E442C0"/>
    <w:rsid w:val="00E45DA8"/>
    <w:rsid w:val="00E81DC3"/>
    <w:rsid w:val="00E9400C"/>
    <w:rsid w:val="00E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59"/>
    <w:rPr>
      <w:rFonts w:ascii="Kudriashov" w:hAnsi="Kudriashov"/>
    </w:rPr>
  </w:style>
  <w:style w:type="paragraph" w:styleId="1">
    <w:name w:val="heading 1"/>
    <w:basedOn w:val="a"/>
    <w:next w:val="a"/>
    <w:qFormat/>
    <w:rsid w:val="00D35E59"/>
    <w:pPr>
      <w:keepNext/>
      <w:ind w:firstLine="851"/>
      <w:jc w:val="right"/>
      <w:outlineLvl w:val="0"/>
    </w:pPr>
    <w:rPr>
      <w:rFonts w:ascii="Times New Roman" w:hAnsi="Times New Roman"/>
      <w:sz w:val="22"/>
      <w:u w:val="single"/>
    </w:rPr>
  </w:style>
  <w:style w:type="paragraph" w:styleId="2">
    <w:name w:val="heading 2"/>
    <w:basedOn w:val="a"/>
    <w:next w:val="a"/>
    <w:qFormat/>
    <w:rsid w:val="00D35E59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D35E59"/>
    <w:pPr>
      <w:keepNext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35E59"/>
    <w:pPr>
      <w:keepNext/>
      <w:spacing w:before="20"/>
      <w:ind w:right="282"/>
      <w:outlineLvl w:val="3"/>
    </w:pPr>
    <w:rPr>
      <w:rFonts w:ascii="Arial" w:hAnsi="Arial" w:cs="Arial"/>
      <w:i/>
      <w:i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5E5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D35E59"/>
  </w:style>
  <w:style w:type="paragraph" w:styleId="a5">
    <w:name w:val="Body Text Indent"/>
    <w:basedOn w:val="a"/>
    <w:semiHidden/>
    <w:rsid w:val="00D35E59"/>
    <w:pPr>
      <w:ind w:left="426" w:firstLine="425"/>
      <w:jc w:val="both"/>
    </w:pPr>
    <w:rPr>
      <w:rFonts w:ascii="Times New Roman" w:hAnsi="Times New Roman"/>
      <w:sz w:val="24"/>
    </w:rPr>
  </w:style>
  <w:style w:type="paragraph" w:styleId="a6">
    <w:name w:val="Title"/>
    <w:basedOn w:val="a"/>
    <w:qFormat/>
    <w:rsid w:val="00D35E59"/>
    <w:pPr>
      <w:spacing w:line="360" w:lineRule="auto"/>
      <w:jc w:val="center"/>
    </w:pPr>
    <w:rPr>
      <w:rFonts w:ascii="Arial" w:hAnsi="Arial"/>
      <w:b/>
      <w:i/>
      <w:sz w:val="24"/>
      <w:u w:val="single"/>
    </w:rPr>
  </w:style>
  <w:style w:type="paragraph" w:styleId="20">
    <w:name w:val="Body Text Indent 2"/>
    <w:basedOn w:val="a"/>
    <w:semiHidden/>
    <w:rsid w:val="00D35E59"/>
    <w:pPr>
      <w:ind w:firstLine="851"/>
      <w:jc w:val="both"/>
    </w:pPr>
    <w:rPr>
      <w:rFonts w:ascii="Arial" w:hAnsi="Arial"/>
      <w:sz w:val="24"/>
    </w:rPr>
  </w:style>
  <w:style w:type="paragraph" w:styleId="a7">
    <w:name w:val="Body Text"/>
    <w:basedOn w:val="a"/>
    <w:semiHidden/>
    <w:rsid w:val="00D35E59"/>
    <w:pPr>
      <w:jc w:val="both"/>
    </w:pPr>
    <w:rPr>
      <w:rFonts w:ascii="Arial" w:hAnsi="Arial"/>
      <w:sz w:val="24"/>
    </w:rPr>
  </w:style>
  <w:style w:type="paragraph" w:styleId="a8">
    <w:name w:val="footer"/>
    <w:basedOn w:val="a"/>
    <w:semiHidden/>
    <w:rsid w:val="00D35E59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D35E59"/>
  </w:style>
  <w:style w:type="character" w:styleId="aa">
    <w:name w:val="footnote reference"/>
    <w:semiHidden/>
    <w:rsid w:val="00D35E59"/>
    <w:rPr>
      <w:vertAlign w:val="superscript"/>
    </w:rPr>
  </w:style>
  <w:style w:type="paragraph" w:styleId="21">
    <w:name w:val="Body Text 2"/>
    <w:basedOn w:val="a"/>
    <w:semiHidden/>
    <w:rsid w:val="00D35E59"/>
    <w:pPr>
      <w:jc w:val="both"/>
    </w:pPr>
    <w:rPr>
      <w:rFonts w:ascii="Arial" w:hAnsi="Arial"/>
      <w:sz w:val="22"/>
    </w:rPr>
  </w:style>
  <w:style w:type="paragraph" w:styleId="30">
    <w:name w:val="Body Text Indent 3"/>
    <w:basedOn w:val="a"/>
    <w:semiHidden/>
    <w:rsid w:val="00D35E59"/>
    <w:pPr>
      <w:ind w:left="357"/>
      <w:jc w:val="both"/>
    </w:pPr>
    <w:rPr>
      <w:rFonts w:ascii="Arial" w:hAnsi="Arial"/>
      <w:sz w:val="22"/>
    </w:rPr>
  </w:style>
  <w:style w:type="paragraph" w:styleId="31">
    <w:name w:val="Body Text 3"/>
    <w:basedOn w:val="a"/>
    <w:semiHidden/>
    <w:rsid w:val="00D35E59"/>
    <w:pPr>
      <w:widowControl w:val="0"/>
      <w:jc w:val="both"/>
    </w:pPr>
    <w:rPr>
      <w:rFonts w:ascii="Arial" w:hAnsi="Arial"/>
      <w:sz w:val="22"/>
      <w:u w:val="single"/>
    </w:rPr>
  </w:style>
  <w:style w:type="paragraph" w:styleId="ab">
    <w:name w:val="Block Text"/>
    <w:basedOn w:val="a"/>
    <w:semiHidden/>
    <w:rsid w:val="00D35E59"/>
    <w:pPr>
      <w:ind w:left="357" w:right="284"/>
      <w:jc w:val="both"/>
    </w:pPr>
    <w:rPr>
      <w:rFonts w:ascii="Arial" w:hAnsi="Arial" w:cs="Arial"/>
      <w:bCs/>
      <w:i/>
      <w:i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59"/>
    <w:rPr>
      <w:rFonts w:ascii="Kudriashov" w:hAnsi="Kudriashov"/>
    </w:rPr>
  </w:style>
  <w:style w:type="paragraph" w:styleId="1">
    <w:name w:val="heading 1"/>
    <w:basedOn w:val="a"/>
    <w:next w:val="a"/>
    <w:qFormat/>
    <w:rsid w:val="00D35E59"/>
    <w:pPr>
      <w:keepNext/>
      <w:ind w:firstLine="851"/>
      <w:jc w:val="right"/>
      <w:outlineLvl w:val="0"/>
    </w:pPr>
    <w:rPr>
      <w:rFonts w:ascii="Times New Roman" w:hAnsi="Times New Roman"/>
      <w:sz w:val="22"/>
      <w:u w:val="single"/>
    </w:rPr>
  </w:style>
  <w:style w:type="paragraph" w:styleId="2">
    <w:name w:val="heading 2"/>
    <w:basedOn w:val="a"/>
    <w:next w:val="a"/>
    <w:qFormat/>
    <w:rsid w:val="00D35E59"/>
    <w:pPr>
      <w:keepNext/>
      <w:jc w:val="both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D35E59"/>
    <w:pPr>
      <w:keepNext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D35E59"/>
    <w:pPr>
      <w:keepNext/>
      <w:spacing w:before="20"/>
      <w:ind w:right="282"/>
      <w:outlineLvl w:val="3"/>
    </w:pPr>
    <w:rPr>
      <w:rFonts w:ascii="Arial" w:hAnsi="Arial" w:cs="Arial"/>
      <w:i/>
      <w:i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5E59"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  <w:rsid w:val="00D35E59"/>
  </w:style>
  <w:style w:type="paragraph" w:styleId="a5">
    <w:name w:val="Body Text Indent"/>
    <w:basedOn w:val="a"/>
    <w:semiHidden/>
    <w:rsid w:val="00D35E59"/>
    <w:pPr>
      <w:ind w:left="426" w:firstLine="425"/>
      <w:jc w:val="both"/>
    </w:pPr>
    <w:rPr>
      <w:rFonts w:ascii="Times New Roman" w:hAnsi="Times New Roman"/>
      <w:sz w:val="24"/>
    </w:rPr>
  </w:style>
  <w:style w:type="paragraph" w:styleId="a6">
    <w:name w:val="Title"/>
    <w:basedOn w:val="a"/>
    <w:qFormat/>
    <w:rsid w:val="00D35E59"/>
    <w:pPr>
      <w:spacing w:line="360" w:lineRule="auto"/>
      <w:jc w:val="center"/>
    </w:pPr>
    <w:rPr>
      <w:rFonts w:ascii="Arial" w:hAnsi="Arial"/>
      <w:b/>
      <w:i/>
      <w:sz w:val="24"/>
      <w:u w:val="single"/>
    </w:rPr>
  </w:style>
  <w:style w:type="paragraph" w:styleId="20">
    <w:name w:val="Body Text Indent 2"/>
    <w:basedOn w:val="a"/>
    <w:semiHidden/>
    <w:rsid w:val="00D35E59"/>
    <w:pPr>
      <w:ind w:firstLine="851"/>
      <w:jc w:val="both"/>
    </w:pPr>
    <w:rPr>
      <w:rFonts w:ascii="Arial" w:hAnsi="Arial"/>
      <w:sz w:val="24"/>
    </w:rPr>
  </w:style>
  <w:style w:type="paragraph" w:styleId="a7">
    <w:name w:val="Body Text"/>
    <w:basedOn w:val="a"/>
    <w:semiHidden/>
    <w:rsid w:val="00D35E59"/>
    <w:pPr>
      <w:jc w:val="both"/>
    </w:pPr>
    <w:rPr>
      <w:rFonts w:ascii="Arial" w:hAnsi="Arial"/>
      <w:sz w:val="24"/>
    </w:rPr>
  </w:style>
  <w:style w:type="paragraph" w:styleId="a8">
    <w:name w:val="footer"/>
    <w:basedOn w:val="a"/>
    <w:semiHidden/>
    <w:rsid w:val="00D35E59"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  <w:rsid w:val="00D35E59"/>
  </w:style>
  <w:style w:type="character" w:styleId="aa">
    <w:name w:val="footnote reference"/>
    <w:semiHidden/>
    <w:rsid w:val="00D35E59"/>
    <w:rPr>
      <w:vertAlign w:val="superscript"/>
    </w:rPr>
  </w:style>
  <w:style w:type="paragraph" w:styleId="21">
    <w:name w:val="Body Text 2"/>
    <w:basedOn w:val="a"/>
    <w:semiHidden/>
    <w:rsid w:val="00D35E59"/>
    <w:pPr>
      <w:jc w:val="both"/>
    </w:pPr>
    <w:rPr>
      <w:rFonts w:ascii="Arial" w:hAnsi="Arial"/>
      <w:sz w:val="22"/>
    </w:rPr>
  </w:style>
  <w:style w:type="paragraph" w:styleId="30">
    <w:name w:val="Body Text Indent 3"/>
    <w:basedOn w:val="a"/>
    <w:semiHidden/>
    <w:rsid w:val="00D35E59"/>
    <w:pPr>
      <w:ind w:left="357"/>
      <w:jc w:val="both"/>
    </w:pPr>
    <w:rPr>
      <w:rFonts w:ascii="Arial" w:hAnsi="Arial"/>
      <w:sz w:val="22"/>
    </w:rPr>
  </w:style>
  <w:style w:type="paragraph" w:styleId="31">
    <w:name w:val="Body Text 3"/>
    <w:basedOn w:val="a"/>
    <w:semiHidden/>
    <w:rsid w:val="00D35E59"/>
    <w:pPr>
      <w:widowControl w:val="0"/>
      <w:jc w:val="both"/>
    </w:pPr>
    <w:rPr>
      <w:rFonts w:ascii="Arial" w:hAnsi="Arial"/>
      <w:sz w:val="22"/>
      <w:u w:val="single"/>
    </w:rPr>
  </w:style>
  <w:style w:type="paragraph" w:styleId="ab">
    <w:name w:val="Block Text"/>
    <w:basedOn w:val="a"/>
    <w:semiHidden/>
    <w:rsid w:val="00D35E59"/>
    <w:pPr>
      <w:ind w:left="357" w:right="284"/>
      <w:jc w:val="both"/>
    </w:pPr>
    <w:rPr>
      <w:rFonts w:ascii="Arial" w:hAnsi="Arial" w:cs="Arial"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АККРЕДИТИВ.   ИМПОРТ.</vt:lpstr>
    </vt:vector>
  </TitlesOfParts>
  <Company>BFTR</Company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АККРЕДИТИВ.   ИМПОРТ.</dc:title>
  <dc:creator>MAL</dc:creator>
  <cp:lastModifiedBy>Igor N. Shilkin</cp:lastModifiedBy>
  <cp:revision>12</cp:revision>
  <cp:lastPrinted>2003-10-03T09:08:00Z</cp:lastPrinted>
  <dcterms:created xsi:type="dcterms:W3CDTF">2021-06-10T10:27:00Z</dcterms:created>
  <dcterms:modified xsi:type="dcterms:W3CDTF">2023-10-26T11:50:00Z</dcterms:modified>
</cp:coreProperties>
</file>